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rPr>
          <w:rFonts w:hint="eastAsia" w:ascii="黑体" w:hAnsi="黑体" w:eastAsia="黑体" w:cs="黑体"/>
          <w:b/>
          <w:bCs/>
          <w:color w:val="000000" w:themeColor="text1"/>
          <w:sz w:val="52"/>
          <w:szCs w:val="52"/>
          <w:lang w:eastAsia="zh-CN"/>
        </w:rPr>
      </w:pPr>
      <w:bookmarkStart w:id="0" w:name="_Toc2224"/>
      <w:bookmarkStart w:id="1" w:name="_Toc23535"/>
    </w:p>
    <w:p>
      <w:pPr>
        <w:rPr>
          <w:rFonts w:hint="eastAsia" w:ascii="黑体" w:hAnsi="黑体" w:eastAsia="黑体" w:cs="黑体"/>
          <w:b/>
          <w:bCs/>
          <w:color w:val="000000" w:themeColor="text1"/>
          <w:sz w:val="52"/>
          <w:szCs w:val="52"/>
          <w:lang w:eastAsia="zh-CN"/>
        </w:rPr>
      </w:pPr>
      <w:r>
        <w:rPr>
          <w:rFonts w:hint="eastAsia" w:ascii="黑体" w:hAnsi="黑体" w:eastAsia="黑体" w:cs="黑体"/>
          <w:b/>
          <w:bCs/>
          <w:color w:val="000000" w:themeColor="text1"/>
          <w:sz w:val="52"/>
          <w:szCs w:val="52"/>
          <w:lang w:eastAsia="zh-CN"/>
        </w:rPr>
        <w:t>致：中国科学院西北高原生物研究所</w:t>
      </w:r>
    </w:p>
    <w:p>
      <w:pPr>
        <w:rPr>
          <w:rFonts w:hint="eastAsia" w:ascii="仿宋_GB2312" w:eastAsia="仿宋_GB2312"/>
          <w:sz w:val="28"/>
          <w:szCs w:val="28"/>
        </w:rPr>
      </w:pPr>
    </w:p>
    <w:p>
      <w:pPr>
        <w:rPr>
          <w:rFonts w:hint="eastAsia" w:ascii="仿宋_GB2312" w:eastAsia="仿宋_GB2312"/>
          <w:sz w:val="28"/>
          <w:szCs w:val="28"/>
          <w:lang w:eastAsia="zh-CN"/>
        </w:rPr>
      </w:pPr>
      <w:r>
        <w:rPr>
          <w:rFonts w:hint="eastAsia" w:ascii="仿宋_GB2312" w:eastAsia="仿宋_GB2312"/>
          <w:sz w:val="28"/>
          <w:szCs w:val="28"/>
          <w:lang w:eastAsia="zh-CN"/>
        </w:rPr>
        <w:drawing>
          <wp:inline distT="0" distB="0" distL="114300" distR="114300">
            <wp:extent cx="5616575" cy="2416175"/>
            <wp:effectExtent l="0" t="0" r="3175" b="3175"/>
            <wp:docPr id="39" name="图片 1" descr="51miz-P204794-DD683A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descr="51miz-P204794-DD683AD9"/>
                    <pic:cNvPicPr>
                      <a:picLocks noChangeAspect="1"/>
                    </pic:cNvPicPr>
                  </pic:nvPicPr>
                  <pic:blipFill>
                    <a:blip r:embed="rId7"/>
                    <a:stretch>
                      <a:fillRect/>
                    </a:stretch>
                  </pic:blipFill>
                  <pic:spPr>
                    <a:xfrm>
                      <a:off x="0" y="0"/>
                      <a:ext cx="5616575" cy="2416175"/>
                    </a:xfrm>
                    <a:prstGeom prst="rect">
                      <a:avLst/>
                    </a:prstGeom>
                    <a:noFill/>
                    <a:ln>
                      <a:noFill/>
                    </a:ln>
                  </pic:spPr>
                </pic:pic>
              </a:graphicData>
            </a:graphic>
          </wp:inline>
        </w:drawing>
      </w:r>
    </w:p>
    <w:p>
      <w:pPr>
        <w:rPr>
          <w:rFonts w:hint="eastAsia" w:ascii="仿宋_GB2312" w:eastAsia="仿宋_GB2312"/>
          <w:sz w:val="28"/>
          <w:szCs w:val="28"/>
        </w:rPr>
      </w:pPr>
    </w:p>
    <w:p>
      <w:pPr>
        <w:jc w:val="center"/>
        <w:rPr>
          <w:rFonts w:hint="eastAsia" w:ascii="黑体" w:hAnsi="黑体" w:eastAsia="黑体" w:cs="黑体"/>
          <w:b/>
          <w:bCs/>
          <w:color w:val="993300"/>
          <w:sz w:val="72"/>
          <w:szCs w:val="72"/>
          <w:lang w:eastAsia="zh-CN"/>
        </w:rPr>
      </w:pPr>
    </w:p>
    <w:p>
      <w:pPr>
        <w:jc w:val="center"/>
        <w:rPr>
          <w:rFonts w:hint="eastAsia" w:ascii="黑体" w:hAnsi="黑体" w:eastAsia="黑体" w:cs="黑体"/>
          <w:b/>
          <w:bCs/>
          <w:color w:val="auto"/>
          <w:sz w:val="52"/>
          <w:szCs w:val="52"/>
          <w:lang w:eastAsia="zh-CN"/>
        </w:rPr>
      </w:pPr>
      <w:r>
        <w:rPr>
          <w:rFonts w:hint="eastAsia" w:ascii="黑体" w:hAnsi="黑体" w:eastAsia="黑体" w:cs="黑体"/>
          <w:b/>
          <w:bCs/>
          <w:color w:val="auto"/>
          <w:sz w:val="52"/>
          <w:szCs w:val="52"/>
          <w:lang w:eastAsia="zh-CN"/>
        </w:rPr>
        <w:t>中国科学院西北高原生物研究所</w:t>
      </w:r>
    </w:p>
    <w:p>
      <w:pPr>
        <w:jc w:val="center"/>
        <w:rPr>
          <w:rFonts w:hint="eastAsia" w:ascii="黑体" w:hAnsi="黑体" w:eastAsia="黑体" w:cs="黑体"/>
          <w:b/>
          <w:bCs/>
          <w:color w:val="auto"/>
          <w:sz w:val="52"/>
          <w:szCs w:val="52"/>
          <w:lang w:eastAsia="zh-CN"/>
        </w:rPr>
      </w:pPr>
      <w:r>
        <w:rPr>
          <w:rFonts w:hint="eastAsia" w:ascii="黑体" w:hAnsi="黑体" w:eastAsia="黑体" w:cs="黑体"/>
          <w:b/>
          <w:bCs/>
          <w:color w:val="auto"/>
          <w:sz w:val="52"/>
          <w:szCs w:val="52"/>
          <w:lang w:eastAsia="zh-CN"/>
        </w:rPr>
        <w:t>代发工资项目</w:t>
      </w:r>
    </w:p>
    <w:p>
      <w:pPr>
        <w:jc w:val="center"/>
        <w:rPr>
          <w:rFonts w:hint="eastAsia" w:ascii="宋体" w:hAnsi="宋体"/>
          <w:b/>
          <w:color w:val="auto"/>
          <w:sz w:val="44"/>
          <w:szCs w:val="44"/>
        </w:rPr>
      </w:pPr>
    </w:p>
    <w:p>
      <w:pPr>
        <w:jc w:val="left"/>
        <w:rPr>
          <w:rFonts w:hint="eastAsia" w:ascii="黑体" w:hAnsi="黑体" w:eastAsia="黑体" w:cs="黑体"/>
          <w:b/>
          <w:bCs/>
          <w:color w:val="auto"/>
          <w:sz w:val="32"/>
          <w:szCs w:val="32"/>
          <w:lang w:val="en-US" w:eastAsia="zh-CN"/>
        </w:rPr>
      </w:pPr>
      <w:r>
        <w:rPr>
          <w:rFonts w:hint="eastAsia" w:ascii="黑体" w:hAnsi="黑体" w:eastAsia="黑体" w:cs="黑体"/>
          <w:b/>
          <w:bCs/>
          <w:color w:val="auto"/>
          <w:sz w:val="32"/>
          <w:szCs w:val="32"/>
          <w:lang w:eastAsia="zh-CN"/>
        </w:rPr>
        <w:t xml:space="preserve">招标人名称： </w:t>
      </w:r>
      <w:r>
        <w:rPr>
          <w:rFonts w:hint="eastAsia" w:ascii="黑体" w:hAnsi="黑体" w:eastAsia="黑体" w:cs="黑体"/>
          <w:b/>
          <w:bCs/>
          <w:color w:val="auto"/>
          <w:sz w:val="32"/>
          <w:szCs w:val="32"/>
          <w:lang w:val="en-US" w:eastAsia="zh-CN"/>
        </w:rPr>
        <w:t>中国科学院西北高原生物研究所</w:t>
      </w:r>
      <w:r>
        <w:rPr>
          <w:rFonts w:hint="eastAsia" w:ascii="黑体" w:hAnsi="黑体" w:eastAsia="黑体" w:cs="黑体"/>
          <w:b/>
          <w:bCs/>
          <w:color w:val="auto"/>
          <w:sz w:val="32"/>
          <w:szCs w:val="32"/>
          <w:lang w:eastAsia="zh-CN"/>
        </w:rPr>
        <w:t xml:space="preserve"> </w:t>
      </w:r>
    </w:p>
    <w:p>
      <w:pPr>
        <w:jc w:val="left"/>
        <w:rPr>
          <w:rFonts w:hint="eastAsia" w:ascii="黑体" w:hAnsi="黑体" w:eastAsia="黑体" w:cs="黑体"/>
          <w:b/>
          <w:bCs/>
          <w:color w:val="auto"/>
          <w:sz w:val="72"/>
          <w:szCs w:val="72"/>
          <w:lang w:val="en-US" w:eastAsia="zh-CN"/>
        </w:rPr>
      </w:pPr>
      <w:r>
        <w:rPr>
          <w:rFonts w:hint="eastAsia" w:ascii="黑体" w:hAnsi="黑体" w:eastAsia="黑体" w:cs="黑体"/>
          <w:b/>
          <w:bCs/>
          <w:color w:val="auto"/>
          <w:sz w:val="32"/>
          <w:szCs w:val="32"/>
          <w:lang w:eastAsia="zh-CN"/>
        </w:rPr>
        <w:t>投标人名称：</w:t>
      </w:r>
      <w:r>
        <w:rPr>
          <w:rFonts w:hint="eastAsia" w:ascii="黑体" w:hAnsi="黑体" w:eastAsia="黑体" w:cs="黑体"/>
          <w:b/>
          <w:bCs/>
          <w:color w:val="auto"/>
          <w:sz w:val="32"/>
          <w:szCs w:val="32"/>
          <w:lang w:val="en-US" w:eastAsia="zh-CN"/>
        </w:rPr>
        <w:t xml:space="preserve"> 中国工商银行股份有限公司西宁城西支行</w:t>
      </w:r>
      <w:r>
        <w:rPr>
          <w:rFonts w:hint="eastAsia" w:ascii="黑体" w:hAnsi="黑体" w:eastAsia="黑体" w:cs="黑体"/>
          <w:b/>
          <w:bCs/>
          <w:color w:val="auto"/>
          <w:sz w:val="72"/>
          <w:szCs w:val="72"/>
          <w:lang w:val="en-US" w:eastAsia="zh-CN"/>
        </w:rPr>
        <w:t xml:space="preserve"> </w:t>
      </w:r>
      <w:bookmarkStart w:id="8" w:name="_GoBack"/>
      <w:bookmarkEnd w:id="8"/>
    </w:p>
    <w:p>
      <w:pPr>
        <w:jc w:val="center"/>
        <w:rPr>
          <w:rFonts w:hint="eastAsia" w:ascii="黑体" w:hAnsi="黑体" w:eastAsia="黑体" w:cs="黑体"/>
          <w:b/>
          <w:bCs/>
          <w:color w:val="auto"/>
          <w:sz w:val="32"/>
          <w:szCs w:val="32"/>
          <w:lang w:val="en-US" w:eastAsia="zh-CN"/>
        </w:rPr>
      </w:pPr>
      <w:r>
        <w:rPr>
          <w:rFonts w:hint="eastAsia" w:ascii="黑体" w:hAnsi="黑体" w:eastAsia="黑体" w:cs="黑体"/>
          <w:b/>
          <w:bCs/>
          <w:color w:val="auto"/>
          <w:sz w:val="32"/>
          <w:szCs w:val="32"/>
          <w:lang w:val="en-US" w:eastAsia="zh-CN"/>
        </w:rPr>
        <w:t>二О二О年五月</w:t>
      </w:r>
    </w:p>
    <w:p>
      <w:pPr>
        <w:keepNext w:val="0"/>
        <w:keepLines w:val="0"/>
        <w:pageBreakBefore w:val="0"/>
        <w:widowControl w:val="0"/>
        <w:kinsoku/>
        <w:wordWrap/>
        <w:overflowPunct/>
        <w:topLinePunct w:val="0"/>
        <w:autoSpaceDE/>
        <w:autoSpaceDN/>
        <w:bidi w:val="0"/>
        <w:adjustRightInd/>
        <w:snapToGrid/>
        <w:spacing w:beforeLines="100" w:after="194" w:afterLines="50"/>
        <w:jc w:val="center"/>
        <w:textAlignment w:val="auto"/>
        <w:rPr>
          <w:rFonts w:hint="eastAsia" w:ascii="方正大标宋_GBK" w:hAnsi="方正大标宋_GBK" w:eastAsia="方正大标宋_GBK" w:cs="方正大标宋_GBK"/>
          <w:sz w:val="44"/>
          <w:szCs w:val="44"/>
        </w:rPr>
        <w:sectPr>
          <w:headerReference r:id="rId3" w:type="default"/>
          <w:footerReference r:id="rId4" w:type="default"/>
          <w:footnotePr>
            <w:numRestart w:val="eachPage"/>
          </w:footnotePr>
          <w:pgSz w:w="11907" w:h="16840"/>
          <w:pgMar w:top="2098" w:right="1474" w:bottom="1984" w:left="1587" w:header="851" w:footer="992" w:gutter="0"/>
          <w:pgBorders>
            <w:top w:val="none" w:sz="0" w:space="0"/>
            <w:left w:val="none" w:sz="0" w:space="0"/>
            <w:bottom w:val="none" w:sz="0" w:space="0"/>
            <w:right w:val="none" w:sz="0" w:space="0"/>
          </w:pgBorders>
          <w:cols w:space="720" w:num="1"/>
          <w:docGrid w:type="lines" w:linePitch="386" w:charSpace="0"/>
        </w:sectPr>
      </w:pPr>
    </w:p>
    <w:p>
      <w:pPr>
        <w:keepNext w:val="0"/>
        <w:keepLines w:val="0"/>
        <w:pageBreakBefore w:val="0"/>
        <w:widowControl w:val="0"/>
        <w:kinsoku/>
        <w:wordWrap/>
        <w:overflowPunct/>
        <w:topLinePunct w:val="0"/>
        <w:autoSpaceDE/>
        <w:autoSpaceDN/>
        <w:bidi w:val="0"/>
        <w:adjustRightInd/>
        <w:snapToGrid/>
        <w:spacing w:beforeLines="100" w:after="194" w:afterLines="50"/>
        <w:jc w:val="center"/>
        <w:textAlignment w:val="auto"/>
        <w:rPr>
          <w:rFonts w:hint="eastAsia" w:ascii="方正大标宋_GBK" w:hAnsi="方正大标宋_GBK" w:eastAsia="方正大标宋_GBK" w:cs="方正大标宋_GBK"/>
          <w:sz w:val="44"/>
          <w:szCs w:val="44"/>
        </w:rPr>
      </w:pPr>
      <w:r>
        <w:rPr>
          <w:rFonts w:hint="eastAsia" w:ascii="方正大标宋_GBK" w:hAnsi="方正大标宋_GBK" w:eastAsia="方正大标宋_GBK" w:cs="方正大标宋_GBK"/>
          <w:sz w:val="44"/>
          <w:szCs w:val="44"/>
        </w:rPr>
        <w:t>目录（资料清单）</w:t>
      </w:r>
    </w:p>
    <w:p>
      <w:pPr>
        <w:rPr>
          <w:rFonts w:hint="eastAsia" w:ascii="华文中宋" w:hAnsi="华文中宋" w:eastAsia="华文中宋" w:cs="华文中宋"/>
          <w:sz w:val="30"/>
          <w:szCs w:val="30"/>
        </w:rPr>
      </w:pPr>
      <w:r>
        <w:rPr>
          <w:rFonts w:hint="eastAsia" w:ascii="华文中宋" w:hAnsi="华文中宋" w:eastAsia="华文中宋" w:cs="华文中宋"/>
          <w:sz w:val="30"/>
          <w:szCs w:val="30"/>
        </w:rPr>
        <w:t>一、营业执照正本复印件………………………………………………1</w:t>
      </w:r>
    </w:p>
    <w:p>
      <w:pPr>
        <w:rPr>
          <w:rFonts w:hint="eastAsia" w:ascii="华文中宋" w:hAnsi="华文中宋" w:eastAsia="华文中宋" w:cs="华文中宋"/>
          <w:sz w:val="30"/>
          <w:szCs w:val="30"/>
        </w:rPr>
      </w:pPr>
      <w:r>
        <w:rPr>
          <w:rFonts w:hint="eastAsia" w:ascii="华文中宋" w:hAnsi="华文中宋" w:eastAsia="华文中宋" w:cs="华文中宋"/>
          <w:sz w:val="30"/>
          <w:szCs w:val="30"/>
        </w:rPr>
        <w:t>二、营业执照副本复印件………………………………………………2</w:t>
      </w:r>
    </w:p>
    <w:p>
      <w:pPr>
        <w:rPr>
          <w:rFonts w:hint="eastAsia" w:ascii="华文中宋" w:hAnsi="华文中宋" w:eastAsia="华文中宋" w:cs="华文中宋"/>
          <w:sz w:val="30"/>
          <w:szCs w:val="30"/>
        </w:rPr>
      </w:pPr>
      <w:r>
        <w:rPr>
          <w:rFonts w:hint="eastAsia" w:ascii="华文中宋" w:hAnsi="华文中宋" w:eastAsia="华文中宋" w:cs="华文中宋"/>
          <w:sz w:val="30"/>
          <w:szCs w:val="30"/>
        </w:rPr>
        <w:t>三、金融许可证复印件…………………………………………………3</w:t>
      </w:r>
    </w:p>
    <w:p>
      <w:pPr>
        <w:rPr>
          <w:rFonts w:hint="eastAsia" w:ascii="华文中宋" w:hAnsi="华文中宋" w:eastAsia="华文中宋" w:cs="华文中宋"/>
          <w:sz w:val="30"/>
          <w:szCs w:val="30"/>
        </w:rPr>
      </w:pPr>
      <w:r>
        <w:rPr>
          <w:rFonts w:hint="eastAsia" w:ascii="华文中宋" w:hAnsi="华文中宋" w:eastAsia="华文中宋" w:cs="华文中宋"/>
          <w:sz w:val="30"/>
          <w:szCs w:val="30"/>
        </w:rPr>
        <w:t>四、唯一授权书…………………………………………………………4</w:t>
      </w:r>
    </w:p>
    <w:p>
      <w:pPr>
        <w:rPr>
          <w:rFonts w:hint="eastAsia" w:ascii="华文中宋" w:hAnsi="华文中宋" w:eastAsia="华文中宋" w:cs="华文中宋"/>
          <w:sz w:val="30"/>
          <w:szCs w:val="30"/>
        </w:rPr>
      </w:pPr>
      <w:r>
        <w:rPr>
          <w:rFonts w:hint="eastAsia" w:ascii="华文中宋" w:hAnsi="华文中宋" w:eastAsia="华文中宋" w:cs="华文中宋"/>
          <w:sz w:val="30"/>
          <w:szCs w:val="30"/>
        </w:rPr>
        <w:t>五、授权委托书…………………………………………………………5</w:t>
      </w:r>
    </w:p>
    <w:p>
      <w:pPr>
        <w:rPr>
          <w:rFonts w:hint="eastAsia" w:ascii="华文中宋" w:hAnsi="华文中宋" w:eastAsia="华文中宋" w:cs="华文中宋"/>
          <w:sz w:val="30"/>
          <w:szCs w:val="30"/>
        </w:rPr>
      </w:pPr>
      <w:r>
        <w:rPr>
          <w:rFonts w:hint="eastAsia" w:ascii="华文中宋" w:hAnsi="华文中宋" w:eastAsia="华文中宋" w:cs="华文中宋"/>
          <w:sz w:val="30"/>
          <w:szCs w:val="30"/>
        </w:rPr>
        <w:t>六、法人身份证复印件…………………………………………………6</w:t>
      </w:r>
    </w:p>
    <w:p>
      <w:pPr>
        <w:rPr>
          <w:rFonts w:hint="eastAsia" w:ascii="华文中宋" w:hAnsi="华文中宋" w:eastAsia="华文中宋" w:cs="华文中宋"/>
          <w:sz w:val="30"/>
          <w:szCs w:val="30"/>
        </w:rPr>
      </w:pPr>
      <w:r>
        <w:rPr>
          <w:rFonts w:hint="eastAsia" w:ascii="华文中宋" w:hAnsi="华文中宋" w:eastAsia="华文中宋" w:cs="华文中宋"/>
          <w:sz w:val="30"/>
          <w:szCs w:val="30"/>
        </w:rPr>
        <w:t>七、委托代理人身份证复印件…………………………………………7</w:t>
      </w:r>
    </w:p>
    <w:p>
      <w:pPr>
        <w:rPr>
          <w:rFonts w:hint="eastAsia" w:ascii="华文中宋" w:hAnsi="华文中宋" w:eastAsia="华文中宋" w:cs="华文中宋"/>
          <w:sz w:val="30"/>
          <w:szCs w:val="30"/>
          <w:lang w:val="en-US" w:eastAsia="zh-CN"/>
        </w:rPr>
      </w:pPr>
      <w:r>
        <w:rPr>
          <w:rFonts w:hint="eastAsia" w:ascii="华文中宋" w:hAnsi="华文中宋" w:eastAsia="华文中宋" w:cs="华文中宋"/>
          <w:sz w:val="30"/>
          <w:szCs w:val="30"/>
        </w:rPr>
        <w:t>八、2019年度报告…………………………………………………8-1</w:t>
      </w:r>
      <w:r>
        <w:rPr>
          <w:rFonts w:hint="eastAsia" w:ascii="华文中宋" w:hAnsi="华文中宋" w:eastAsia="华文中宋" w:cs="华文中宋"/>
          <w:sz w:val="30"/>
          <w:szCs w:val="30"/>
          <w:lang w:val="en-US" w:eastAsia="zh-CN"/>
        </w:rPr>
        <w:t>8</w:t>
      </w:r>
    </w:p>
    <w:p>
      <w:pPr>
        <w:rPr>
          <w:rFonts w:hint="default" w:ascii="华文中宋" w:hAnsi="华文中宋" w:eastAsia="华文中宋" w:cs="华文中宋"/>
          <w:sz w:val="30"/>
          <w:szCs w:val="30"/>
          <w:lang w:val="en-US" w:eastAsia="zh-CN"/>
        </w:rPr>
      </w:pPr>
      <w:r>
        <w:rPr>
          <w:rFonts w:hint="eastAsia" w:ascii="华文中宋" w:hAnsi="华文中宋" w:eastAsia="华文中宋" w:cs="华文中宋"/>
          <w:sz w:val="30"/>
          <w:szCs w:val="30"/>
        </w:rPr>
        <w:t>九、服务承诺书……………………………………………………</w:t>
      </w:r>
      <w:r>
        <w:rPr>
          <w:rFonts w:hint="eastAsia" w:ascii="华文中宋" w:hAnsi="华文中宋" w:eastAsia="华文中宋" w:cs="华文中宋"/>
          <w:sz w:val="30"/>
          <w:szCs w:val="30"/>
          <w:lang w:val="en-US" w:eastAsia="zh-CN"/>
        </w:rPr>
        <w:t>19</w:t>
      </w:r>
      <w:r>
        <w:rPr>
          <w:rFonts w:hint="eastAsia" w:ascii="华文中宋" w:hAnsi="华文中宋" w:eastAsia="华文中宋" w:cs="华文中宋"/>
          <w:sz w:val="30"/>
          <w:szCs w:val="30"/>
        </w:rPr>
        <w:t>-</w:t>
      </w:r>
      <w:r>
        <w:rPr>
          <w:rFonts w:hint="eastAsia" w:ascii="华文中宋" w:hAnsi="华文中宋" w:eastAsia="华文中宋" w:cs="华文中宋"/>
          <w:sz w:val="30"/>
          <w:szCs w:val="30"/>
          <w:lang w:val="en-US" w:eastAsia="zh-CN"/>
        </w:rPr>
        <w:t>37</w:t>
      </w:r>
    </w:p>
    <w:p>
      <w:pPr>
        <w:rPr>
          <w:rFonts w:hint="default" w:ascii="华文中宋" w:hAnsi="华文中宋" w:eastAsia="华文中宋" w:cs="华文中宋"/>
          <w:sz w:val="30"/>
          <w:szCs w:val="30"/>
          <w:lang w:val="en-US" w:eastAsia="zh-CN"/>
        </w:rPr>
      </w:pPr>
      <w:r>
        <w:rPr>
          <w:rFonts w:hint="eastAsia" w:ascii="华文中宋" w:hAnsi="华文中宋" w:eastAsia="华文中宋" w:cs="华文中宋"/>
          <w:sz w:val="30"/>
          <w:szCs w:val="30"/>
        </w:rPr>
        <w:t>十、 廉政承诺书…………………………………………………3</w:t>
      </w:r>
      <w:r>
        <w:rPr>
          <w:rFonts w:hint="eastAsia" w:ascii="华文中宋" w:hAnsi="华文中宋" w:eastAsia="华文中宋" w:cs="华文中宋"/>
          <w:sz w:val="30"/>
          <w:szCs w:val="30"/>
          <w:lang w:val="en-US" w:eastAsia="zh-CN"/>
        </w:rPr>
        <w:t>8</w:t>
      </w:r>
      <w:r>
        <w:rPr>
          <w:rFonts w:hint="eastAsia" w:ascii="华文中宋" w:hAnsi="华文中宋" w:eastAsia="华文中宋" w:cs="华文中宋"/>
          <w:sz w:val="30"/>
          <w:szCs w:val="30"/>
        </w:rPr>
        <w:t>-</w:t>
      </w:r>
      <w:r>
        <w:rPr>
          <w:rFonts w:hint="eastAsia" w:ascii="华文中宋" w:hAnsi="华文中宋" w:eastAsia="华文中宋" w:cs="华文中宋"/>
          <w:sz w:val="30"/>
          <w:szCs w:val="30"/>
          <w:lang w:val="en-US" w:eastAsia="zh-CN"/>
        </w:rPr>
        <w:t>39</w:t>
      </w:r>
    </w:p>
    <w:p>
      <w:pPr>
        <w:rPr>
          <w:rFonts w:hint="eastAsia" w:ascii="华文中宋" w:hAnsi="华文中宋" w:eastAsia="华文中宋" w:cs="华文中宋"/>
          <w:sz w:val="30"/>
          <w:szCs w:val="30"/>
        </w:rPr>
      </w:pPr>
      <w:r>
        <w:rPr>
          <w:rFonts w:hint="eastAsia" w:ascii="华文中宋" w:hAnsi="华文中宋" w:eastAsia="华文中宋" w:cs="华文中宋"/>
          <w:sz w:val="30"/>
          <w:szCs w:val="30"/>
        </w:rPr>
        <w:t>十一、代发工资业务协议（合同）模板…………………</w:t>
      </w:r>
      <w:r>
        <w:rPr>
          <w:rFonts w:hint="eastAsia" w:ascii="华文中宋" w:hAnsi="华文中宋" w:eastAsia="华文中宋" w:cs="华文中宋"/>
          <w:sz w:val="30"/>
          <w:szCs w:val="30"/>
          <w:lang w:eastAsia="zh-CN"/>
        </w:rPr>
        <w:t>……</w:t>
      </w:r>
      <w:r>
        <w:rPr>
          <w:rFonts w:hint="eastAsia" w:ascii="华文中宋" w:hAnsi="华文中宋" w:eastAsia="华文中宋" w:cs="华文中宋"/>
          <w:sz w:val="30"/>
          <w:szCs w:val="30"/>
        </w:rPr>
        <w:t>……</w:t>
      </w:r>
      <w:r>
        <w:rPr>
          <w:rFonts w:hint="eastAsia" w:ascii="华文中宋" w:hAnsi="华文中宋" w:eastAsia="华文中宋" w:cs="华文中宋"/>
          <w:sz w:val="30"/>
          <w:szCs w:val="30"/>
          <w:lang w:val="en-US" w:eastAsia="zh-CN"/>
        </w:rPr>
        <w:t>40-46</w:t>
      </w:r>
      <w:r>
        <w:rPr>
          <w:rFonts w:hint="eastAsia" w:ascii="华文中宋" w:hAnsi="华文中宋" w:eastAsia="华文中宋" w:cs="华文中宋"/>
          <w:sz w:val="30"/>
          <w:szCs w:val="30"/>
        </w:rPr>
        <w:t xml:space="preserve">    </w:t>
      </w:r>
    </w:p>
    <w:p>
      <w:pPr>
        <w:rPr>
          <w:rFonts w:hint="default" w:ascii="华文中宋" w:hAnsi="华文中宋" w:eastAsia="华文中宋" w:cs="华文中宋"/>
          <w:lang w:val="en-US" w:eastAsia="zh-CN"/>
        </w:rPr>
        <w:sectPr>
          <w:footnotePr>
            <w:numRestart w:val="eachPage"/>
          </w:footnotePr>
          <w:pgSz w:w="11907" w:h="16840"/>
          <w:pgMar w:top="2098" w:right="1474" w:bottom="1984" w:left="1587" w:header="851" w:footer="992" w:gutter="0"/>
          <w:pgBorders>
            <w:top w:val="none" w:sz="0" w:space="0"/>
            <w:left w:val="none" w:sz="0" w:space="0"/>
            <w:bottom w:val="none" w:sz="0" w:space="0"/>
            <w:right w:val="none" w:sz="0" w:space="0"/>
          </w:pgBorders>
          <w:cols w:space="720" w:num="1"/>
          <w:docGrid w:type="lines" w:linePitch="386" w:charSpace="0"/>
        </w:sectPr>
      </w:pPr>
      <w:r>
        <w:rPr>
          <w:rFonts w:hint="eastAsia" w:ascii="华文中宋" w:hAnsi="华文中宋" w:eastAsia="华文中宋" w:cs="华文中宋"/>
          <w:sz w:val="30"/>
          <w:szCs w:val="30"/>
        </w:rPr>
        <w:t>十二、投标人资格资料……………………………………………</w:t>
      </w:r>
      <w:r>
        <w:rPr>
          <w:rFonts w:hint="eastAsia" w:ascii="华文中宋" w:hAnsi="华文中宋" w:eastAsia="华文中宋" w:cs="华文中宋"/>
          <w:sz w:val="30"/>
          <w:szCs w:val="30"/>
          <w:lang w:val="en-US" w:eastAsia="zh-CN"/>
        </w:rPr>
        <w:t>47-50</w:t>
      </w:r>
    </w:p>
    <w:p>
      <w:pPr>
        <w:widowControl/>
        <w:spacing w:line="590" w:lineRule="exact"/>
        <w:jc w:val="center"/>
        <w:rPr>
          <w:rFonts w:hint="eastAsia" w:ascii="方正大标宋_GBK" w:hAnsi="方正大标宋_GBK" w:eastAsia="方正大标宋_GBK" w:cs="方正大标宋_GBK"/>
          <w:sz w:val="44"/>
          <w:szCs w:val="44"/>
        </w:rPr>
      </w:pPr>
      <w:bookmarkStart w:id="2" w:name="_Toc23800"/>
      <w:bookmarkStart w:id="3" w:name="_Toc13426"/>
      <w:bookmarkStart w:id="4" w:name="_Toc20807"/>
      <w:r>
        <w:rPr>
          <w:rFonts w:hint="eastAsia" w:ascii="方正大标宋_GBK" w:hAnsi="方正大标宋_GBK" w:eastAsia="方正大标宋_GBK" w:cs="方正大标宋_GBK"/>
          <w:sz w:val="44"/>
          <w:szCs w:val="44"/>
          <w:lang w:eastAsia="zh-CN"/>
        </w:rPr>
        <w:drawing>
          <wp:anchor distT="0" distB="0" distL="114300" distR="114300" simplePos="0" relativeHeight="251662336" behindDoc="0" locked="0" layoutInCell="1" allowOverlap="1">
            <wp:simplePos x="0" y="0"/>
            <wp:positionH relativeFrom="column">
              <wp:posOffset>-809625</wp:posOffset>
            </wp:positionH>
            <wp:positionV relativeFrom="page">
              <wp:posOffset>2654935</wp:posOffset>
            </wp:positionV>
            <wp:extent cx="7148830" cy="5337175"/>
            <wp:effectExtent l="0" t="0" r="15875" b="13970"/>
            <wp:wrapTopAndBottom/>
            <wp:docPr id="19" name="图片 19" descr="img-513160702-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513160702-0001"/>
                    <pic:cNvPicPr>
                      <a:picLocks noChangeAspect="1"/>
                    </pic:cNvPicPr>
                  </pic:nvPicPr>
                  <pic:blipFill>
                    <a:blip r:embed="rId8"/>
                    <a:srcRect r="5260"/>
                    <a:stretch>
                      <a:fillRect/>
                    </a:stretch>
                  </pic:blipFill>
                  <pic:spPr>
                    <a:xfrm rot="5400000">
                      <a:off x="0" y="0"/>
                      <a:ext cx="7148830" cy="5337175"/>
                    </a:xfrm>
                    <a:prstGeom prst="rect">
                      <a:avLst/>
                    </a:prstGeom>
                  </pic:spPr>
                </pic:pic>
              </a:graphicData>
            </a:graphic>
          </wp:anchor>
        </w:drawing>
      </w:r>
      <w:r>
        <w:rPr>
          <w:rFonts w:hint="eastAsia" w:ascii="方正大标宋_GBK" w:hAnsi="方正大标宋_GBK" w:eastAsia="方正大标宋_GBK" w:cs="方正大标宋_GBK"/>
          <w:sz w:val="44"/>
          <w:szCs w:val="44"/>
          <w:lang w:eastAsia="zh-CN"/>
        </w:rPr>
        <w:t>一、</w:t>
      </w:r>
      <w:r>
        <w:rPr>
          <w:rFonts w:hint="eastAsia" w:ascii="方正大标宋_GBK" w:hAnsi="方正大标宋_GBK" w:eastAsia="方正大标宋_GBK" w:cs="方正大标宋_GBK"/>
          <w:sz w:val="44"/>
          <w:szCs w:val="44"/>
        </w:rPr>
        <w:t>营业执照（正本）</w:t>
      </w:r>
    </w:p>
    <w:p>
      <w:pPr>
        <w:widowControl/>
        <w:spacing w:line="240" w:lineRule="auto"/>
        <w:jc w:val="center"/>
        <w:rPr>
          <w:rFonts w:hint="eastAsia" w:ascii="宋体" w:hAnsi="宋体" w:eastAsia="宋体" w:cs="宋体"/>
          <w:b/>
          <w:bCs/>
          <w:sz w:val="30"/>
          <w:szCs w:val="30"/>
          <w:lang w:eastAsia="zh-CN"/>
        </w:rPr>
      </w:pPr>
    </w:p>
    <w:p>
      <w:pPr>
        <w:widowControl/>
        <w:spacing w:line="590" w:lineRule="exact"/>
        <w:jc w:val="center"/>
        <w:rPr>
          <w:rFonts w:hint="eastAsia" w:ascii="宋体" w:hAnsi="宋体" w:cs="宋体"/>
          <w:sz w:val="44"/>
          <w:szCs w:val="44"/>
        </w:rPr>
      </w:pPr>
    </w:p>
    <w:p>
      <w:pPr>
        <w:pStyle w:val="2"/>
        <w:rPr>
          <w:rFonts w:hint="eastAsia"/>
          <w:sz w:val="44"/>
          <w:szCs w:val="44"/>
        </w:rPr>
      </w:pPr>
    </w:p>
    <w:p>
      <w:pPr>
        <w:widowControl/>
        <w:spacing w:line="590" w:lineRule="exact"/>
        <w:jc w:val="center"/>
        <w:rPr>
          <w:rFonts w:hint="eastAsia" w:ascii="方正大标宋_GBK" w:hAnsi="方正大标宋_GBK" w:eastAsia="方正大标宋_GBK" w:cs="方正大标宋_GBK"/>
          <w:sz w:val="44"/>
          <w:szCs w:val="44"/>
        </w:rPr>
      </w:pPr>
    </w:p>
    <w:p>
      <w:pPr>
        <w:widowControl/>
        <w:spacing w:line="590" w:lineRule="exact"/>
        <w:jc w:val="center"/>
        <w:rPr>
          <w:rFonts w:hint="eastAsia" w:ascii="方正大标宋_GBK" w:hAnsi="方正大标宋_GBK" w:eastAsia="方正大标宋_GBK" w:cs="方正大标宋_GBK"/>
          <w:sz w:val="44"/>
          <w:szCs w:val="44"/>
        </w:rPr>
        <w:sectPr>
          <w:footerReference r:id="rId5" w:type="default"/>
          <w:footnotePr>
            <w:numRestart w:val="eachPage"/>
          </w:footnotePr>
          <w:pgSz w:w="11907" w:h="16840"/>
          <w:pgMar w:top="2098" w:right="1474" w:bottom="1984" w:left="1587" w:header="851" w:footer="992" w:gutter="0"/>
          <w:pgBorders>
            <w:top w:val="none" w:sz="0" w:space="0"/>
            <w:left w:val="none" w:sz="0" w:space="0"/>
            <w:bottom w:val="none" w:sz="0" w:space="0"/>
            <w:right w:val="none" w:sz="0" w:space="0"/>
          </w:pgBorders>
          <w:pgNumType w:fmt="decimal" w:start="1"/>
          <w:cols w:space="720" w:num="1"/>
          <w:docGrid w:type="lines" w:linePitch="386" w:charSpace="0"/>
        </w:sectPr>
      </w:pPr>
      <w:r>
        <w:rPr>
          <w:rFonts w:hint="eastAsia" w:ascii="方正大标宋_GBK" w:hAnsi="方正大标宋_GBK" w:eastAsia="方正大标宋_GBK" w:cs="方正大标宋_GBK"/>
          <w:sz w:val="44"/>
          <w:szCs w:val="44"/>
          <w:lang w:eastAsia="zh-CN"/>
        </w:rPr>
        <w:drawing>
          <wp:anchor distT="0" distB="0" distL="114300" distR="114300" simplePos="0" relativeHeight="251663360" behindDoc="0" locked="0" layoutInCell="1" allowOverlap="1">
            <wp:simplePos x="0" y="0"/>
            <wp:positionH relativeFrom="column">
              <wp:posOffset>-841375</wp:posOffset>
            </wp:positionH>
            <wp:positionV relativeFrom="page">
              <wp:posOffset>2720340</wp:posOffset>
            </wp:positionV>
            <wp:extent cx="7256780" cy="5368925"/>
            <wp:effectExtent l="0" t="0" r="3175" b="1270"/>
            <wp:wrapTopAndBottom/>
            <wp:docPr id="20" name="图片 20" descr="img-513160702-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513160702-0002"/>
                    <pic:cNvPicPr>
                      <a:picLocks noChangeAspect="1"/>
                    </pic:cNvPicPr>
                  </pic:nvPicPr>
                  <pic:blipFill>
                    <a:blip r:embed="rId9"/>
                    <a:srcRect r="4392"/>
                    <a:stretch>
                      <a:fillRect/>
                    </a:stretch>
                  </pic:blipFill>
                  <pic:spPr>
                    <a:xfrm rot="5400000">
                      <a:off x="0" y="0"/>
                      <a:ext cx="7256780" cy="5368925"/>
                    </a:xfrm>
                    <a:prstGeom prst="rect">
                      <a:avLst/>
                    </a:prstGeom>
                  </pic:spPr>
                </pic:pic>
              </a:graphicData>
            </a:graphic>
          </wp:anchor>
        </w:drawing>
      </w:r>
      <w:r>
        <w:rPr>
          <w:rFonts w:hint="eastAsia" w:ascii="方正大标宋_GBK" w:hAnsi="方正大标宋_GBK" w:eastAsia="方正大标宋_GBK" w:cs="方正大标宋_GBK"/>
          <w:sz w:val="44"/>
          <w:szCs w:val="44"/>
          <w:lang w:eastAsia="zh-CN"/>
        </w:rPr>
        <w:t>二、</w:t>
      </w:r>
      <w:r>
        <w:rPr>
          <w:rFonts w:hint="eastAsia" w:ascii="方正大标宋_GBK" w:hAnsi="方正大标宋_GBK" w:eastAsia="方正大标宋_GBK" w:cs="方正大标宋_GBK"/>
          <w:sz w:val="44"/>
          <w:szCs w:val="44"/>
        </w:rPr>
        <w:t>营业执照（副本）</w:t>
      </w:r>
    </w:p>
    <w:p>
      <w:pPr>
        <w:widowControl/>
        <w:spacing w:line="590" w:lineRule="exact"/>
        <w:jc w:val="center"/>
        <w:rPr>
          <w:rFonts w:hint="eastAsia" w:ascii="方正大标宋_GBK" w:hAnsi="方正大标宋_GBK" w:eastAsia="方正大标宋_GBK" w:cs="方正大标宋_GBK"/>
          <w:sz w:val="44"/>
          <w:szCs w:val="44"/>
        </w:rPr>
      </w:pPr>
      <w:r>
        <w:rPr>
          <w:rFonts w:hint="eastAsia" w:ascii="方正大标宋_GBK" w:hAnsi="方正大标宋_GBK" w:eastAsia="方正大标宋_GBK" w:cs="方正大标宋_GBK"/>
          <w:sz w:val="44"/>
          <w:szCs w:val="44"/>
          <w:lang w:eastAsia="zh-CN"/>
        </w:rPr>
        <w:drawing>
          <wp:anchor distT="0" distB="0" distL="114300" distR="114300" simplePos="0" relativeHeight="251683840" behindDoc="0" locked="0" layoutInCell="1" allowOverlap="1">
            <wp:simplePos x="0" y="0"/>
            <wp:positionH relativeFrom="column">
              <wp:posOffset>281940</wp:posOffset>
            </wp:positionH>
            <wp:positionV relativeFrom="paragraph">
              <wp:posOffset>598170</wp:posOffset>
            </wp:positionV>
            <wp:extent cx="5013325" cy="7154545"/>
            <wp:effectExtent l="0" t="0" r="15875" b="8255"/>
            <wp:wrapTopAndBottom/>
            <wp:docPr id="21" name="图片 21" descr="img-513160702-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513160702-0003"/>
                    <pic:cNvPicPr>
                      <a:picLocks noChangeAspect="1"/>
                    </pic:cNvPicPr>
                  </pic:nvPicPr>
                  <pic:blipFill>
                    <a:blip r:embed="rId10"/>
                    <a:srcRect l="26286" r="24590" b="880"/>
                    <a:stretch>
                      <a:fillRect/>
                    </a:stretch>
                  </pic:blipFill>
                  <pic:spPr>
                    <a:xfrm>
                      <a:off x="0" y="0"/>
                      <a:ext cx="5013325" cy="7154545"/>
                    </a:xfrm>
                    <a:prstGeom prst="rect">
                      <a:avLst/>
                    </a:prstGeom>
                  </pic:spPr>
                </pic:pic>
              </a:graphicData>
            </a:graphic>
          </wp:anchor>
        </w:drawing>
      </w:r>
      <w:r>
        <w:rPr>
          <w:rFonts w:hint="eastAsia" w:ascii="方正大标宋_GBK" w:hAnsi="方正大标宋_GBK" w:eastAsia="方正大标宋_GBK" w:cs="方正大标宋_GBK"/>
          <w:sz w:val="44"/>
          <w:szCs w:val="44"/>
          <w:lang w:eastAsia="zh-CN"/>
        </w:rPr>
        <w:t>三、</w:t>
      </w:r>
      <w:r>
        <w:rPr>
          <w:rFonts w:hint="eastAsia" w:ascii="方正大标宋_GBK" w:hAnsi="方正大标宋_GBK" w:eastAsia="方正大标宋_GBK" w:cs="方正大标宋_GBK"/>
          <w:sz w:val="44"/>
          <w:szCs w:val="44"/>
        </w:rPr>
        <w:t>金融许可证</w:t>
      </w:r>
    </w:p>
    <w:p>
      <w:pPr>
        <w:widowControl/>
        <w:spacing w:line="590" w:lineRule="exact"/>
        <w:jc w:val="center"/>
        <w:rPr>
          <w:rFonts w:hint="eastAsia" w:ascii="方正大标宋_GBK" w:hAnsi="方正大标宋_GBK" w:eastAsia="方正大标宋_GBK" w:cs="方正大标宋_GBK"/>
          <w:sz w:val="44"/>
          <w:szCs w:val="44"/>
          <w:lang w:eastAsia="zh-CN"/>
        </w:rPr>
        <w:sectPr>
          <w:footnotePr>
            <w:numRestart w:val="eachPage"/>
          </w:footnotePr>
          <w:pgSz w:w="11907" w:h="16840"/>
          <w:pgMar w:top="2098" w:right="1474" w:bottom="1984" w:left="1587" w:header="851" w:footer="992" w:gutter="0"/>
          <w:pgBorders>
            <w:top w:val="none" w:sz="0" w:space="0"/>
            <w:left w:val="none" w:sz="0" w:space="0"/>
            <w:bottom w:val="none" w:sz="0" w:space="0"/>
            <w:right w:val="none" w:sz="0" w:space="0"/>
          </w:pgBorders>
          <w:pgNumType w:fmt="decimal"/>
          <w:cols w:space="720" w:num="1"/>
          <w:docGrid w:type="lines" w:linePitch="386" w:charSpace="0"/>
        </w:sectPr>
      </w:pPr>
    </w:p>
    <w:p>
      <w:pPr>
        <w:widowControl/>
        <w:spacing w:line="590" w:lineRule="exact"/>
        <w:jc w:val="center"/>
        <w:rPr>
          <w:rFonts w:hint="eastAsia" w:ascii="方正大标宋_GBK" w:hAnsi="方正大标宋_GBK" w:eastAsia="方正大标宋_GBK" w:cs="方正大标宋_GBK"/>
          <w:sz w:val="44"/>
          <w:szCs w:val="44"/>
        </w:rPr>
      </w:pPr>
      <w:r>
        <w:rPr>
          <w:rFonts w:hint="eastAsia" w:ascii="方正大标宋_GBK" w:hAnsi="方正大标宋_GBK" w:eastAsia="方正大标宋_GBK" w:cs="方正大标宋_GBK"/>
          <w:sz w:val="44"/>
          <w:szCs w:val="44"/>
          <w:lang w:eastAsia="zh-CN"/>
        </w:rPr>
        <w:t>四、</w:t>
      </w:r>
      <w:r>
        <w:rPr>
          <w:rFonts w:hint="eastAsia" w:ascii="方正大标宋_GBK" w:hAnsi="方正大标宋_GBK" w:eastAsia="方正大标宋_GBK" w:cs="方正大标宋_GBK"/>
          <w:sz w:val="44"/>
          <w:szCs w:val="44"/>
        </w:rPr>
        <w:t>唯一授权书</w:t>
      </w:r>
    </w:p>
    <w:p>
      <w:pPr>
        <w:pStyle w:val="2"/>
        <w:rPr>
          <w:rFonts w:hint="eastAsia"/>
          <w:sz w:val="44"/>
          <w:szCs w:val="44"/>
        </w:rPr>
      </w:pPr>
    </w:p>
    <w:p>
      <w:pPr>
        <w:rPr>
          <w:rFonts w:hint="eastAsia"/>
          <w:sz w:val="44"/>
          <w:szCs w:val="44"/>
        </w:rPr>
      </w:pPr>
    </w:p>
    <w:p>
      <w:pPr>
        <w:rPr>
          <w:rFonts w:hint="eastAsia"/>
          <w:sz w:val="44"/>
          <w:szCs w:val="44"/>
        </w:rPr>
      </w:pPr>
    </w:p>
    <w:p>
      <w:pPr>
        <w:rPr>
          <w:rFonts w:hint="eastAsia"/>
          <w:sz w:val="44"/>
          <w:szCs w:val="44"/>
        </w:rPr>
      </w:pPr>
    </w:p>
    <w:p>
      <w:pPr>
        <w:rPr>
          <w:rFonts w:hint="eastAsia"/>
          <w:sz w:val="44"/>
          <w:szCs w:val="44"/>
        </w:rPr>
      </w:pPr>
    </w:p>
    <w:p>
      <w:pPr>
        <w:pStyle w:val="2"/>
        <w:rPr>
          <w:rFonts w:hint="eastAsia"/>
          <w:sz w:val="44"/>
          <w:szCs w:val="44"/>
        </w:rPr>
      </w:pPr>
    </w:p>
    <w:p>
      <w:pPr>
        <w:pStyle w:val="2"/>
        <w:rPr>
          <w:rFonts w:hint="eastAsia"/>
          <w:sz w:val="44"/>
          <w:szCs w:val="44"/>
        </w:rPr>
      </w:pPr>
    </w:p>
    <w:p>
      <w:pPr>
        <w:pStyle w:val="2"/>
        <w:rPr>
          <w:rFonts w:hint="eastAsia"/>
          <w:sz w:val="44"/>
          <w:szCs w:val="44"/>
        </w:rPr>
      </w:pPr>
    </w:p>
    <w:p>
      <w:pPr>
        <w:rPr>
          <w:rFonts w:hint="eastAsia"/>
        </w:rPr>
      </w:pPr>
    </w:p>
    <w:p>
      <w:pPr>
        <w:pStyle w:val="2"/>
        <w:rPr>
          <w:rFonts w:hint="eastAsia"/>
          <w:sz w:val="44"/>
          <w:szCs w:val="44"/>
        </w:rPr>
      </w:pPr>
    </w:p>
    <w:p>
      <w:pPr>
        <w:pStyle w:val="2"/>
        <w:rPr>
          <w:rFonts w:hint="eastAsia"/>
          <w:sz w:val="44"/>
          <w:szCs w:val="44"/>
        </w:rPr>
      </w:pPr>
    </w:p>
    <w:p>
      <w:pPr>
        <w:pStyle w:val="2"/>
        <w:rPr>
          <w:rFonts w:hint="eastAsia"/>
          <w:sz w:val="44"/>
          <w:szCs w:val="44"/>
        </w:rPr>
      </w:pPr>
    </w:p>
    <w:p>
      <w:pPr>
        <w:pStyle w:val="2"/>
        <w:rPr>
          <w:rFonts w:hint="eastAsia"/>
          <w:sz w:val="44"/>
          <w:szCs w:val="44"/>
        </w:rPr>
      </w:pPr>
    </w:p>
    <w:p>
      <w:pPr>
        <w:rPr>
          <w:rFonts w:hint="eastAsia"/>
        </w:rPr>
      </w:pPr>
    </w:p>
    <w:p>
      <w:pPr>
        <w:rPr>
          <w:rFonts w:hint="eastAsia"/>
        </w:rPr>
      </w:pPr>
    </w:p>
    <w:p>
      <w:pPr>
        <w:widowControl/>
        <w:spacing w:line="590" w:lineRule="exact"/>
        <w:jc w:val="center"/>
        <w:rPr>
          <w:rFonts w:hint="eastAsia" w:ascii="方正大标宋_GBK" w:hAnsi="方正大标宋_GBK" w:eastAsia="方正大标宋_GBK" w:cs="方正大标宋_GBK"/>
          <w:sz w:val="44"/>
          <w:szCs w:val="44"/>
        </w:rPr>
      </w:pPr>
      <w:r>
        <w:rPr>
          <w:rFonts w:hint="eastAsia" w:ascii="方正大标宋_GBK" w:hAnsi="方正大标宋_GBK" w:eastAsia="方正大标宋_GBK" w:cs="方正大标宋_GBK"/>
          <w:sz w:val="44"/>
          <w:szCs w:val="44"/>
          <w:lang w:eastAsia="zh-CN"/>
        </w:rPr>
        <w:t>五、</w:t>
      </w:r>
      <w:r>
        <w:rPr>
          <w:rFonts w:hint="eastAsia" w:ascii="方正大标宋_GBK" w:hAnsi="方正大标宋_GBK" w:eastAsia="方正大标宋_GBK" w:cs="方正大标宋_GBK"/>
          <w:sz w:val="44"/>
          <w:szCs w:val="44"/>
        </w:rPr>
        <w:t>法定代表人（负责人）授权委托书</w:t>
      </w:r>
    </w:p>
    <w:p>
      <w:pPr>
        <w:widowControl/>
        <w:spacing w:line="590" w:lineRule="exact"/>
        <w:rPr>
          <w:rFonts w:hint="eastAsia" w:ascii="仿宋_GB2312" w:hAnsi="仿宋_GB2312" w:eastAsia="仿宋_GB2312" w:cs="仿宋_GB2312"/>
          <w:sz w:val="32"/>
          <w:szCs w:val="32"/>
        </w:rPr>
      </w:pPr>
    </w:p>
    <w:p>
      <w:pPr>
        <w:widowControl/>
        <w:spacing w:line="590" w:lineRule="exact"/>
        <w:rPr>
          <w:rFonts w:hint="eastAsia" w:ascii="宋体" w:hAnsi="宋体" w:cs="宋体"/>
          <w:sz w:val="32"/>
          <w:szCs w:val="32"/>
        </w:rPr>
      </w:pPr>
      <w:r>
        <w:rPr>
          <w:rFonts w:hint="eastAsia" w:ascii="宋体" w:hAnsi="宋体" w:cs="宋体"/>
          <w:sz w:val="32"/>
          <w:szCs w:val="32"/>
        </w:rPr>
        <w:t>中国科学院西北高原生物研究所：</w:t>
      </w:r>
    </w:p>
    <w:p>
      <w:pPr>
        <w:widowControl/>
        <w:spacing w:line="590" w:lineRule="exact"/>
        <w:rPr>
          <w:rFonts w:hint="eastAsia" w:ascii="宋体" w:hAnsi="宋体" w:cs="宋体"/>
          <w:sz w:val="32"/>
          <w:szCs w:val="32"/>
        </w:rPr>
      </w:pPr>
      <w:r>
        <w:rPr>
          <w:rFonts w:hint="eastAsia" w:ascii="宋体" w:hAnsi="宋体" w:cs="宋体"/>
          <w:sz w:val="32"/>
          <w:szCs w:val="32"/>
        </w:rPr>
        <w:t xml:space="preserve">    兹委托伊万军同志参加你所关于代发工资项目的竞标活动，全权代表我行处理与本次代发工资竞标的相关事宜。</w:t>
      </w:r>
    </w:p>
    <w:p>
      <w:pPr>
        <w:widowControl/>
        <w:spacing w:line="590" w:lineRule="exact"/>
        <w:rPr>
          <w:rFonts w:hint="eastAsia" w:ascii="宋体" w:hAnsi="宋体" w:cs="宋体"/>
          <w:sz w:val="32"/>
          <w:szCs w:val="32"/>
        </w:rPr>
      </w:pPr>
    </w:p>
    <w:p>
      <w:pPr>
        <w:widowControl/>
        <w:spacing w:line="590" w:lineRule="exact"/>
        <w:rPr>
          <w:rFonts w:hint="eastAsia" w:ascii="宋体" w:hAnsi="宋体" w:cs="宋体"/>
          <w:sz w:val="32"/>
          <w:szCs w:val="32"/>
        </w:rPr>
      </w:pPr>
      <w:r>
        <w:rPr>
          <w:rFonts w:hint="eastAsia" w:ascii="宋体" w:hAnsi="宋体" w:cs="宋体"/>
          <w:sz w:val="32"/>
          <w:szCs w:val="32"/>
        </w:rPr>
        <w:t>代理人基本情况：</w:t>
      </w:r>
    </w:p>
    <w:p>
      <w:pPr>
        <w:widowControl/>
        <w:spacing w:line="590" w:lineRule="exact"/>
        <w:rPr>
          <w:rFonts w:hint="eastAsia" w:ascii="宋体" w:hAnsi="宋体" w:cs="宋体"/>
          <w:sz w:val="32"/>
          <w:szCs w:val="32"/>
        </w:rPr>
      </w:pPr>
      <w:r>
        <w:rPr>
          <w:rFonts w:hint="eastAsia" w:ascii="宋体" w:hAnsi="宋体" w:cs="宋体"/>
          <w:sz w:val="32"/>
          <w:szCs w:val="32"/>
        </w:rPr>
        <w:t xml:space="preserve">姓名：伊万军  </w:t>
      </w:r>
    </w:p>
    <w:p>
      <w:pPr>
        <w:widowControl/>
        <w:spacing w:line="590" w:lineRule="exact"/>
        <w:rPr>
          <w:rFonts w:hint="eastAsia" w:ascii="宋体" w:hAnsi="宋体" w:cs="宋体"/>
          <w:sz w:val="32"/>
          <w:szCs w:val="32"/>
        </w:rPr>
      </w:pPr>
      <w:r>
        <w:rPr>
          <w:rFonts w:hint="eastAsia" w:ascii="宋体" w:hAnsi="宋体" w:cs="宋体"/>
          <w:sz w:val="32"/>
          <w:szCs w:val="32"/>
        </w:rPr>
        <w:t xml:space="preserve">性别：男  </w:t>
      </w:r>
    </w:p>
    <w:p>
      <w:pPr>
        <w:widowControl/>
        <w:spacing w:line="590" w:lineRule="exact"/>
        <w:rPr>
          <w:rFonts w:hint="eastAsia" w:ascii="宋体" w:hAnsi="宋体" w:cs="宋体"/>
          <w:sz w:val="32"/>
          <w:szCs w:val="32"/>
        </w:rPr>
      </w:pPr>
      <w:r>
        <w:rPr>
          <w:rFonts w:hint="eastAsia" w:ascii="宋体" w:hAnsi="宋体" w:cs="宋体"/>
          <w:sz w:val="32"/>
          <w:szCs w:val="32"/>
        </w:rPr>
        <w:t xml:space="preserve">年龄：51岁  </w:t>
      </w:r>
    </w:p>
    <w:p>
      <w:pPr>
        <w:widowControl/>
        <w:spacing w:line="590" w:lineRule="exact"/>
        <w:rPr>
          <w:rFonts w:hint="eastAsia" w:ascii="宋体" w:hAnsi="宋体" w:cs="宋体"/>
          <w:sz w:val="32"/>
          <w:szCs w:val="32"/>
        </w:rPr>
      </w:pPr>
      <w:r>
        <w:rPr>
          <w:rFonts w:hint="eastAsia" w:ascii="宋体" w:hAnsi="宋体" w:cs="宋体"/>
          <w:sz w:val="32"/>
          <w:szCs w:val="32"/>
        </w:rPr>
        <w:t>职务：中国工商银行西宁城西支行机构金融业务部主任</w:t>
      </w:r>
    </w:p>
    <w:p>
      <w:pPr>
        <w:widowControl/>
        <w:spacing w:line="590" w:lineRule="exact"/>
        <w:rPr>
          <w:rFonts w:hint="eastAsia" w:ascii="宋体" w:hAnsi="宋体" w:cs="宋体"/>
          <w:sz w:val="32"/>
          <w:szCs w:val="32"/>
        </w:rPr>
      </w:pPr>
      <w:r>
        <w:rPr>
          <w:rFonts w:hint="eastAsia" w:ascii="宋体" w:hAnsi="宋体" w:cs="宋体"/>
          <w:sz w:val="32"/>
          <w:szCs w:val="32"/>
        </w:rPr>
        <w:t>身份证号码：630104196901152534</w:t>
      </w:r>
    </w:p>
    <w:p>
      <w:pPr>
        <w:widowControl/>
        <w:spacing w:line="590" w:lineRule="exact"/>
        <w:rPr>
          <w:rFonts w:hint="eastAsia" w:ascii="宋体" w:hAnsi="宋体" w:cs="宋体"/>
          <w:sz w:val="32"/>
          <w:szCs w:val="32"/>
        </w:rPr>
      </w:pPr>
      <w:r>
        <w:rPr>
          <w:rFonts w:hint="eastAsia" w:ascii="宋体" w:hAnsi="宋体" w:cs="宋体"/>
          <w:sz w:val="32"/>
          <w:szCs w:val="32"/>
        </w:rPr>
        <w:t>通讯地址：西宁市城西区西关大街29号</w:t>
      </w:r>
    </w:p>
    <w:p>
      <w:pPr>
        <w:widowControl/>
        <w:spacing w:line="590" w:lineRule="exact"/>
        <w:rPr>
          <w:rFonts w:hint="eastAsia" w:ascii="宋体" w:hAnsi="宋体" w:cs="宋体"/>
          <w:sz w:val="32"/>
          <w:szCs w:val="32"/>
        </w:rPr>
      </w:pPr>
      <w:r>
        <w:rPr>
          <w:rFonts w:hint="eastAsia" w:ascii="宋体" w:hAnsi="宋体" w:cs="宋体"/>
          <w:sz w:val="32"/>
          <w:szCs w:val="32"/>
        </w:rPr>
        <w:t>邮政编码：810001</w:t>
      </w:r>
    </w:p>
    <w:p>
      <w:pPr>
        <w:widowControl/>
        <w:spacing w:line="590" w:lineRule="exact"/>
        <w:rPr>
          <w:rFonts w:hint="eastAsia" w:ascii="宋体" w:hAnsi="宋体" w:cs="宋体"/>
          <w:sz w:val="32"/>
          <w:szCs w:val="32"/>
        </w:rPr>
      </w:pPr>
      <w:r>
        <w:rPr>
          <w:rFonts w:hint="eastAsia" w:ascii="宋体" w:hAnsi="宋体" w:cs="宋体"/>
          <w:sz w:val="32"/>
          <w:szCs w:val="32"/>
        </w:rPr>
        <w:t>电话：0971-6125531，13997267000</w:t>
      </w:r>
    </w:p>
    <w:p>
      <w:pPr>
        <w:widowControl/>
        <w:spacing w:line="590" w:lineRule="exact"/>
        <w:rPr>
          <w:rFonts w:hint="eastAsia" w:ascii="宋体" w:hAnsi="宋体" w:cs="宋体"/>
          <w:sz w:val="32"/>
          <w:szCs w:val="32"/>
        </w:rPr>
      </w:pPr>
      <w:r>
        <w:rPr>
          <w:rFonts w:hint="eastAsia" w:ascii="宋体" w:hAnsi="宋体" w:cs="宋体"/>
          <w:sz w:val="32"/>
          <w:szCs w:val="32"/>
        </w:rPr>
        <w:t xml:space="preserve">竞争参评单位名称（公章）        </w:t>
      </w:r>
    </w:p>
    <w:p>
      <w:pPr>
        <w:widowControl/>
        <w:spacing w:line="590" w:lineRule="exact"/>
        <w:rPr>
          <w:rFonts w:hint="eastAsia" w:ascii="宋体" w:hAnsi="宋体" w:cs="宋体"/>
          <w:sz w:val="32"/>
          <w:szCs w:val="32"/>
        </w:rPr>
      </w:pPr>
      <w:r>
        <w:rPr>
          <w:rFonts w:hint="eastAsia" w:ascii="宋体" w:hAnsi="宋体" w:cs="宋体"/>
          <w:sz w:val="32"/>
          <w:szCs w:val="32"/>
        </w:rPr>
        <w:t xml:space="preserve">法定代表人或负责人（签字）              </w:t>
      </w:r>
    </w:p>
    <w:p>
      <w:pPr>
        <w:widowControl/>
        <w:spacing w:line="590" w:lineRule="exact"/>
        <w:rPr>
          <w:rFonts w:hint="eastAsia" w:ascii="宋体" w:hAnsi="宋体" w:cs="宋体"/>
          <w:sz w:val="32"/>
          <w:szCs w:val="32"/>
        </w:rPr>
      </w:pPr>
      <w:r>
        <w:rPr>
          <w:rFonts w:hint="eastAsia" w:ascii="宋体" w:hAnsi="宋体" w:cs="宋体"/>
          <w:sz w:val="32"/>
          <w:szCs w:val="32"/>
        </w:rPr>
        <w:t xml:space="preserve">              </w:t>
      </w:r>
    </w:p>
    <w:p>
      <w:pPr>
        <w:widowControl/>
        <w:spacing w:line="590" w:lineRule="exact"/>
        <w:rPr>
          <w:rFonts w:hint="eastAsia" w:ascii="宋体" w:hAnsi="宋体" w:cs="宋体"/>
          <w:sz w:val="32"/>
          <w:szCs w:val="32"/>
        </w:rPr>
      </w:pPr>
      <w:r>
        <w:rPr>
          <w:rFonts w:hint="eastAsia" w:ascii="宋体" w:hAnsi="宋体" w:cs="宋体"/>
          <w:sz w:val="32"/>
          <w:szCs w:val="32"/>
        </w:rPr>
        <w:t xml:space="preserve">               中国工商银行股份有限公司西宁城西支行</w:t>
      </w:r>
    </w:p>
    <w:p>
      <w:pPr>
        <w:widowControl/>
        <w:spacing w:line="590" w:lineRule="exact"/>
        <w:rPr>
          <w:rFonts w:hint="eastAsia" w:ascii="宋体" w:hAnsi="宋体" w:cs="宋体"/>
          <w:sz w:val="32"/>
          <w:szCs w:val="32"/>
        </w:rPr>
      </w:pPr>
      <w:r>
        <w:rPr>
          <w:rFonts w:hint="eastAsia" w:ascii="宋体" w:hAnsi="宋体" w:cs="宋体"/>
          <w:sz w:val="32"/>
          <w:szCs w:val="32"/>
        </w:rPr>
        <w:t xml:space="preserve">                          2020年5 月13日</w:t>
      </w:r>
    </w:p>
    <w:p>
      <w:pPr>
        <w:widowControl/>
        <w:spacing w:line="590" w:lineRule="exact"/>
        <w:jc w:val="center"/>
        <w:rPr>
          <w:rFonts w:hint="eastAsia" w:ascii="方正大标宋_GBK" w:hAnsi="方正大标宋_GBK" w:eastAsia="方正大标宋_GBK" w:cs="方正大标宋_GBK"/>
          <w:sz w:val="44"/>
          <w:szCs w:val="44"/>
        </w:rPr>
      </w:pPr>
    </w:p>
    <w:p>
      <w:pPr>
        <w:widowControl/>
        <w:spacing w:line="240" w:lineRule="auto"/>
        <w:jc w:val="center"/>
        <w:rPr>
          <w:rFonts w:hint="eastAsia" w:ascii="方正大标宋_GBK" w:hAnsi="方正大标宋_GBK" w:eastAsia="方正大标宋_GBK" w:cs="方正大标宋_GBK"/>
          <w:sz w:val="44"/>
          <w:szCs w:val="44"/>
          <w:lang w:eastAsia="zh-CN"/>
        </w:rPr>
      </w:pPr>
      <w:r>
        <w:rPr>
          <w:rFonts w:hint="eastAsia" w:ascii="方正大标宋_GBK" w:hAnsi="方正大标宋_GBK" w:eastAsia="方正大标宋_GBK" w:cs="方正大标宋_GBK"/>
          <w:sz w:val="44"/>
          <w:szCs w:val="44"/>
          <w:lang w:eastAsia="zh-CN"/>
        </w:rPr>
        <w:t>六、</w:t>
      </w:r>
      <w:r>
        <w:rPr>
          <w:rFonts w:hint="eastAsia" w:ascii="方正大标宋_GBK" w:hAnsi="方正大标宋_GBK" w:eastAsia="方正大标宋_GBK" w:cs="方正大标宋_GBK"/>
          <w:sz w:val="44"/>
          <w:szCs w:val="44"/>
        </w:rPr>
        <w:t>法定代表人身份证复印件</w:t>
      </w:r>
    </w:p>
    <w:p>
      <w:pPr>
        <w:pStyle w:val="2"/>
        <w:rPr>
          <w:rFonts w:hint="eastAsia"/>
          <w:sz w:val="44"/>
          <w:szCs w:val="44"/>
        </w:rPr>
      </w:pPr>
      <w:r>
        <w:rPr>
          <w:rFonts w:hint="eastAsia" w:ascii="方正大标宋_GBK" w:hAnsi="方正大标宋_GBK" w:eastAsia="方正大标宋_GBK" w:cs="方正大标宋_GBK"/>
          <w:sz w:val="44"/>
          <w:szCs w:val="44"/>
          <w:lang w:eastAsia="zh-CN"/>
        </w:rPr>
        <w:drawing>
          <wp:anchor distT="0" distB="0" distL="114300" distR="114300" simplePos="0" relativeHeight="251665408" behindDoc="0" locked="0" layoutInCell="1" allowOverlap="1">
            <wp:simplePos x="0" y="0"/>
            <wp:positionH relativeFrom="column">
              <wp:posOffset>-1007745</wp:posOffset>
            </wp:positionH>
            <wp:positionV relativeFrom="page">
              <wp:posOffset>3324860</wp:posOffset>
            </wp:positionV>
            <wp:extent cx="7092950" cy="4552315"/>
            <wp:effectExtent l="0" t="0" r="635" b="12700"/>
            <wp:wrapTopAndBottom/>
            <wp:docPr id="22" name="图片 22" descr="img-513160702-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513160702-0004"/>
                    <pic:cNvPicPr>
                      <a:picLocks noChangeAspect="1"/>
                    </pic:cNvPicPr>
                  </pic:nvPicPr>
                  <pic:blipFill>
                    <a:blip r:embed="rId11"/>
                    <a:srcRect l="22589" t="23258" r="7281" b="18942"/>
                    <a:stretch>
                      <a:fillRect/>
                    </a:stretch>
                  </pic:blipFill>
                  <pic:spPr>
                    <a:xfrm rot="16200000">
                      <a:off x="0" y="0"/>
                      <a:ext cx="7092950" cy="4552315"/>
                    </a:xfrm>
                    <a:prstGeom prst="rect">
                      <a:avLst/>
                    </a:prstGeom>
                  </pic:spPr>
                </pic:pic>
              </a:graphicData>
            </a:graphic>
          </wp:anchor>
        </w:drawing>
      </w:r>
    </w:p>
    <w:p>
      <w:pPr>
        <w:pStyle w:val="2"/>
        <w:rPr>
          <w:rFonts w:hint="eastAsia"/>
          <w:sz w:val="44"/>
          <w:szCs w:val="44"/>
        </w:rPr>
      </w:pPr>
    </w:p>
    <w:p>
      <w:pPr>
        <w:pStyle w:val="2"/>
        <w:rPr>
          <w:rFonts w:hint="eastAsia"/>
          <w:sz w:val="44"/>
          <w:szCs w:val="44"/>
        </w:rPr>
      </w:pPr>
    </w:p>
    <w:p>
      <w:pPr>
        <w:pStyle w:val="2"/>
        <w:rPr>
          <w:rFonts w:hint="eastAsia"/>
          <w:sz w:val="44"/>
          <w:szCs w:val="44"/>
        </w:rPr>
      </w:pPr>
    </w:p>
    <w:p>
      <w:pPr>
        <w:widowControl/>
        <w:spacing w:line="240" w:lineRule="auto"/>
        <w:jc w:val="center"/>
        <w:rPr>
          <w:rFonts w:hint="eastAsia" w:ascii="宋体" w:hAnsi="宋体" w:cs="宋体"/>
          <w:bCs/>
          <w:sz w:val="44"/>
          <w:szCs w:val="44"/>
        </w:rPr>
      </w:pPr>
      <w:r>
        <w:rPr>
          <w:rFonts w:hint="eastAsia" w:ascii="方正大标宋_GBK" w:hAnsi="方正大标宋_GBK" w:eastAsia="方正大标宋_GBK" w:cs="方正大标宋_GBK"/>
          <w:sz w:val="44"/>
          <w:szCs w:val="44"/>
          <w:lang w:eastAsia="zh-CN"/>
        </w:rPr>
        <w:drawing>
          <wp:anchor distT="0" distB="0" distL="114300" distR="114300" simplePos="0" relativeHeight="251666432" behindDoc="0" locked="0" layoutInCell="1" allowOverlap="1">
            <wp:simplePos x="0" y="0"/>
            <wp:positionH relativeFrom="column">
              <wp:posOffset>1742440</wp:posOffset>
            </wp:positionH>
            <wp:positionV relativeFrom="page">
              <wp:posOffset>5123815</wp:posOffset>
            </wp:positionV>
            <wp:extent cx="2675255" cy="4309110"/>
            <wp:effectExtent l="67310" t="111125" r="81280" b="128270"/>
            <wp:wrapTopAndBottom/>
            <wp:docPr id="23" name="图片 23" descr="img-513160702-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513160702-0005"/>
                    <pic:cNvPicPr>
                      <a:picLocks noChangeAspect="1"/>
                    </pic:cNvPicPr>
                  </pic:nvPicPr>
                  <pic:blipFill>
                    <a:blip r:embed="rId12"/>
                    <a:srcRect l="14211" t="28613" r="61164" b="15313"/>
                    <a:stretch>
                      <a:fillRect/>
                    </a:stretch>
                  </pic:blipFill>
                  <pic:spPr>
                    <a:xfrm rot="16380000">
                      <a:off x="0" y="0"/>
                      <a:ext cx="2675255" cy="4309110"/>
                    </a:xfrm>
                    <a:prstGeom prst="rect">
                      <a:avLst/>
                    </a:prstGeom>
                  </pic:spPr>
                </pic:pic>
              </a:graphicData>
            </a:graphic>
          </wp:anchor>
        </w:drawing>
      </w:r>
      <w:r>
        <w:rPr>
          <w:rFonts w:hint="eastAsia" w:ascii="方正大标宋_GBK" w:hAnsi="方正大标宋_GBK" w:eastAsia="方正大标宋_GBK" w:cs="方正大标宋_GBK"/>
          <w:sz w:val="44"/>
          <w:szCs w:val="44"/>
          <w:lang w:eastAsia="zh-CN"/>
        </w:rPr>
        <w:drawing>
          <wp:anchor distT="0" distB="0" distL="114300" distR="114300" simplePos="0" relativeHeight="251675648" behindDoc="0" locked="0" layoutInCell="1" allowOverlap="1">
            <wp:simplePos x="0" y="0"/>
            <wp:positionH relativeFrom="column">
              <wp:posOffset>1377950</wp:posOffset>
            </wp:positionH>
            <wp:positionV relativeFrom="page">
              <wp:posOffset>2043430</wp:posOffset>
            </wp:positionV>
            <wp:extent cx="2938780" cy="4757420"/>
            <wp:effectExtent l="96520" t="162560" r="99060" b="175260"/>
            <wp:wrapTopAndBottom/>
            <wp:docPr id="24" name="图片 24" descr="img-513160702-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513160702-0005"/>
                    <pic:cNvPicPr>
                      <a:picLocks noChangeAspect="1"/>
                    </pic:cNvPicPr>
                  </pic:nvPicPr>
                  <pic:blipFill>
                    <a:blip r:embed="rId12"/>
                    <a:srcRect l="67652" t="28613" r="7846" b="15313"/>
                    <a:stretch>
                      <a:fillRect/>
                    </a:stretch>
                  </pic:blipFill>
                  <pic:spPr>
                    <a:xfrm rot="16440000">
                      <a:off x="0" y="0"/>
                      <a:ext cx="2938780" cy="4757420"/>
                    </a:xfrm>
                    <a:prstGeom prst="rect">
                      <a:avLst/>
                    </a:prstGeom>
                  </pic:spPr>
                </pic:pic>
              </a:graphicData>
            </a:graphic>
          </wp:anchor>
        </w:drawing>
      </w:r>
      <w:r>
        <w:rPr>
          <w:rFonts w:hint="eastAsia" w:ascii="方正大标宋_GBK" w:hAnsi="方正大标宋_GBK" w:eastAsia="方正大标宋_GBK" w:cs="方正大标宋_GBK"/>
          <w:sz w:val="44"/>
          <w:szCs w:val="44"/>
          <w:lang w:eastAsia="zh-CN"/>
        </w:rPr>
        <w:t>七、</w:t>
      </w:r>
      <w:r>
        <w:rPr>
          <w:rFonts w:hint="eastAsia" w:ascii="方正大标宋_GBK" w:hAnsi="方正大标宋_GBK" w:eastAsia="方正大标宋_GBK" w:cs="方正大标宋_GBK"/>
          <w:sz w:val="44"/>
          <w:szCs w:val="44"/>
        </w:rPr>
        <w:t>委托代理人身份证复印件</w:t>
      </w:r>
    </w:p>
    <w:p>
      <w:pPr>
        <w:rPr>
          <w:rFonts w:hint="eastAsia"/>
        </w:rPr>
      </w:pPr>
      <w:r>
        <w:rPr>
          <w:rFonts w:hint="eastAsia"/>
        </w:rPr>
        <w:drawing>
          <wp:inline distT="0" distB="0" distL="0" distR="0">
            <wp:extent cx="5610225" cy="7620000"/>
            <wp:effectExtent l="19050" t="0" r="9525" b="0"/>
            <wp:docPr id="5" name="图片 5" descr="C:\Users\Administrator\Desktop\新建文件夹 (7)\中国工商银行股份有限公司2019年度报告（A股）1339110100_页面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Desktop\新建文件夹 (7)\中国工商银行股份有限公司2019年度报告（A股）1339110100_页面_01.jpg"/>
                    <pic:cNvPicPr>
                      <a:picLocks noChangeAspect="1" noChangeArrowheads="1"/>
                    </pic:cNvPicPr>
                  </pic:nvPicPr>
                  <pic:blipFill>
                    <a:blip r:embed="rId13" cstate="print"/>
                    <a:srcRect/>
                    <a:stretch>
                      <a:fillRect/>
                    </a:stretch>
                  </pic:blipFill>
                  <pic:spPr>
                    <a:xfrm>
                      <a:off x="0" y="0"/>
                      <a:ext cx="5610225" cy="7620000"/>
                    </a:xfrm>
                    <a:prstGeom prst="rect">
                      <a:avLst/>
                    </a:prstGeom>
                    <a:noFill/>
                    <a:ln w="9525">
                      <a:noFill/>
                      <a:miter lim="800000"/>
                      <a:headEnd/>
                      <a:tailEnd/>
                    </a:ln>
                  </pic:spPr>
                </pic:pic>
              </a:graphicData>
            </a:graphic>
          </wp:inline>
        </w:drawing>
      </w:r>
      <w:r>
        <w:rPr>
          <w:rFonts w:hint="eastAsia"/>
        </w:rPr>
        <w:drawing>
          <wp:inline distT="0" distB="0" distL="0" distR="0">
            <wp:extent cx="5610225" cy="7620000"/>
            <wp:effectExtent l="19050" t="0" r="9525" b="0"/>
            <wp:docPr id="6" name="图片 6" descr="../新建文件夹%20(7)/中国工商银行股份有限公司2019年度报告（A股）1339110100_页面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新建文件夹%20(7)/中国工商银行股份有限公司2019年度报告（A股）1339110100_页面_02.jpg"/>
                    <pic:cNvPicPr>
                      <a:picLocks noChangeAspect="1" noChangeArrowheads="1"/>
                    </pic:cNvPicPr>
                  </pic:nvPicPr>
                  <pic:blipFill>
                    <a:blip r:embed="rId14" cstate="print"/>
                    <a:srcRect/>
                    <a:stretch>
                      <a:fillRect/>
                    </a:stretch>
                  </pic:blipFill>
                  <pic:spPr>
                    <a:xfrm>
                      <a:off x="0" y="0"/>
                      <a:ext cx="5610225" cy="7620000"/>
                    </a:xfrm>
                    <a:prstGeom prst="rect">
                      <a:avLst/>
                    </a:prstGeom>
                    <a:noFill/>
                    <a:ln w="9525">
                      <a:noFill/>
                      <a:miter lim="800000"/>
                      <a:headEnd/>
                      <a:tailEnd/>
                    </a:ln>
                  </pic:spPr>
                </pic:pic>
              </a:graphicData>
            </a:graphic>
          </wp:inline>
        </w:drawing>
      </w:r>
      <w:r>
        <w:rPr>
          <w:rFonts w:hint="eastAsia"/>
        </w:rPr>
        <w:drawing>
          <wp:inline distT="0" distB="0" distL="0" distR="0">
            <wp:extent cx="5610225" cy="7620000"/>
            <wp:effectExtent l="19050" t="0" r="9525" b="0"/>
            <wp:docPr id="7" name="图片 7" descr="../新建文件夹%20(7)/中国工商银行股份有限公司2019年度报告（A股）1339110100_页面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新建文件夹%20(7)/中国工商银行股份有限公司2019年度报告（A股）1339110100_页面_03.jpg"/>
                    <pic:cNvPicPr>
                      <a:picLocks noChangeAspect="1" noChangeArrowheads="1"/>
                    </pic:cNvPicPr>
                  </pic:nvPicPr>
                  <pic:blipFill>
                    <a:blip r:embed="rId15" cstate="print"/>
                    <a:srcRect/>
                    <a:stretch>
                      <a:fillRect/>
                    </a:stretch>
                  </pic:blipFill>
                  <pic:spPr>
                    <a:xfrm>
                      <a:off x="0" y="0"/>
                      <a:ext cx="5610225" cy="7620000"/>
                    </a:xfrm>
                    <a:prstGeom prst="rect">
                      <a:avLst/>
                    </a:prstGeom>
                    <a:noFill/>
                    <a:ln w="9525">
                      <a:noFill/>
                      <a:miter lim="800000"/>
                      <a:headEnd/>
                      <a:tailEnd/>
                    </a:ln>
                  </pic:spPr>
                </pic:pic>
              </a:graphicData>
            </a:graphic>
          </wp:inline>
        </w:drawing>
      </w:r>
      <w:r>
        <w:rPr>
          <w:rFonts w:hint="eastAsia"/>
        </w:rPr>
        <w:drawing>
          <wp:inline distT="0" distB="0" distL="0" distR="0">
            <wp:extent cx="5610225" cy="7620000"/>
            <wp:effectExtent l="19050" t="0" r="9525" b="0"/>
            <wp:docPr id="8" name="图片 8" descr="../新建文件夹%20(7)/中国工商银行股份有限公司2019年度报告（A股）1339110100_页面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新建文件夹%20(7)/中国工商银行股份有限公司2019年度报告（A股）1339110100_页面_04.jpg"/>
                    <pic:cNvPicPr>
                      <a:picLocks noChangeAspect="1" noChangeArrowheads="1"/>
                    </pic:cNvPicPr>
                  </pic:nvPicPr>
                  <pic:blipFill>
                    <a:blip r:embed="rId16" cstate="print"/>
                    <a:srcRect/>
                    <a:stretch>
                      <a:fillRect/>
                    </a:stretch>
                  </pic:blipFill>
                  <pic:spPr>
                    <a:xfrm>
                      <a:off x="0" y="0"/>
                      <a:ext cx="5610225" cy="7620000"/>
                    </a:xfrm>
                    <a:prstGeom prst="rect">
                      <a:avLst/>
                    </a:prstGeom>
                    <a:noFill/>
                    <a:ln w="9525">
                      <a:noFill/>
                      <a:miter lim="800000"/>
                      <a:headEnd/>
                      <a:tailEnd/>
                    </a:ln>
                  </pic:spPr>
                </pic:pic>
              </a:graphicData>
            </a:graphic>
          </wp:inline>
        </w:drawing>
      </w:r>
      <w:r>
        <w:rPr>
          <w:rFonts w:hint="eastAsia"/>
        </w:rPr>
        <w:drawing>
          <wp:inline distT="0" distB="0" distL="0" distR="0">
            <wp:extent cx="5610225" cy="7620000"/>
            <wp:effectExtent l="19050" t="0" r="9525" b="0"/>
            <wp:docPr id="9" name="图片 9" descr="../新建文件夹%20(7)/中国工商银行股份有限公司2019年度报告（A股）1339110100_页面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新建文件夹%20(7)/中国工商银行股份有限公司2019年度报告（A股）1339110100_页面_05.jpg"/>
                    <pic:cNvPicPr>
                      <a:picLocks noChangeAspect="1" noChangeArrowheads="1"/>
                    </pic:cNvPicPr>
                  </pic:nvPicPr>
                  <pic:blipFill>
                    <a:blip r:embed="rId17" cstate="print"/>
                    <a:srcRect/>
                    <a:stretch>
                      <a:fillRect/>
                    </a:stretch>
                  </pic:blipFill>
                  <pic:spPr>
                    <a:xfrm>
                      <a:off x="0" y="0"/>
                      <a:ext cx="5610225" cy="7620000"/>
                    </a:xfrm>
                    <a:prstGeom prst="rect">
                      <a:avLst/>
                    </a:prstGeom>
                    <a:noFill/>
                    <a:ln w="9525">
                      <a:noFill/>
                      <a:miter lim="800000"/>
                      <a:headEnd/>
                      <a:tailEnd/>
                    </a:ln>
                  </pic:spPr>
                </pic:pic>
              </a:graphicData>
            </a:graphic>
          </wp:inline>
        </w:drawing>
      </w:r>
      <w:r>
        <w:rPr>
          <w:rFonts w:hint="eastAsia"/>
        </w:rPr>
        <w:drawing>
          <wp:inline distT="0" distB="0" distL="0" distR="0">
            <wp:extent cx="5610225" cy="7620000"/>
            <wp:effectExtent l="19050" t="0" r="9525" b="0"/>
            <wp:docPr id="10" name="图片 10" descr="../新建文件夹%20(7)/中国工商银行股份有限公司2019年度报告（A股）1339110100_页面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新建文件夹%20(7)/中国工商银行股份有限公司2019年度报告（A股）1339110100_页面_06.jpg"/>
                    <pic:cNvPicPr>
                      <a:picLocks noChangeAspect="1" noChangeArrowheads="1"/>
                    </pic:cNvPicPr>
                  </pic:nvPicPr>
                  <pic:blipFill>
                    <a:blip r:embed="rId18" cstate="print"/>
                    <a:srcRect/>
                    <a:stretch>
                      <a:fillRect/>
                    </a:stretch>
                  </pic:blipFill>
                  <pic:spPr>
                    <a:xfrm>
                      <a:off x="0" y="0"/>
                      <a:ext cx="5610225" cy="7620000"/>
                    </a:xfrm>
                    <a:prstGeom prst="rect">
                      <a:avLst/>
                    </a:prstGeom>
                    <a:noFill/>
                    <a:ln w="9525">
                      <a:noFill/>
                      <a:miter lim="800000"/>
                      <a:headEnd/>
                      <a:tailEnd/>
                    </a:ln>
                  </pic:spPr>
                </pic:pic>
              </a:graphicData>
            </a:graphic>
          </wp:inline>
        </w:drawing>
      </w:r>
      <w:r>
        <w:rPr>
          <w:rFonts w:hint="eastAsia"/>
        </w:rPr>
        <w:drawing>
          <wp:inline distT="0" distB="0" distL="0" distR="0">
            <wp:extent cx="5610225" cy="7610475"/>
            <wp:effectExtent l="19050" t="0" r="9525" b="0"/>
            <wp:docPr id="11" name="图片 11" descr="../新建文件夹%20(7)/中国工商银行股份有限公司2019年度报告（A股）1339110100_页面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新建文件夹%20(7)/中国工商银行股份有限公司2019年度报告（A股）1339110100_页面_07.jpg"/>
                    <pic:cNvPicPr>
                      <a:picLocks noChangeAspect="1" noChangeArrowheads="1"/>
                    </pic:cNvPicPr>
                  </pic:nvPicPr>
                  <pic:blipFill>
                    <a:blip r:embed="rId19" cstate="print"/>
                    <a:srcRect/>
                    <a:stretch>
                      <a:fillRect/>
                    </a:stretch>
                  </pic:blipFill>
                  <pic:spPr>
                    <a:xfrm>
                      <a:off x="0" y="0"/>
                      <a:ext cx="5610225" cy="7610475"/>
                    </a:xfrm>
                    <a:prstGeom prst="rect">
                      <a:avLst/>
                    </a:prstGeom>
                    <a:noFill/>
                    <a:ln w="9525">
                      <a:noFill/>
                      <a:miter lim="800000"/>
                      <a:headEnd/>
                      <a:tailEnd/>
                    </a:ln>
                  </pic:spPr>
                </pic:pic>
              </a:graphicData>
            </a:graphic>
          </wp:inline>
        </w:drawing>
      </w:r>
      <w:r>
        <w:rPr>
          <w:rFonts w:hint="eastAsia"/>
        </w:rPr>
        <w:drawing>
          <wp:inline distT="0" distB="0" distL="0" distR="0">
            <wp:extent cx="5610225" cy="7620000"/>
            <wp:effectExtent l="19050" t="0" r="9525" b="0"/>
            <wp:docPr id="12" name="图片 12" descr="../新建文件夹%20(7)/中国工商银行股份有限公司2019年度报告（A股）1339110100_页面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新建文件夹%20(7)/中国工商银行股份有限公司2019年度报告（A股）1339110100_页面_08.jpg"/>
                    <pic:cNvPicPr>
                      <a:picLocks noChangeAspect="1" noChangeArrowheads="1"/>
                    </pic:cNvPicPr>
                  </pic:nvPicPr>
                  <pic:blipFill>
                    <a:blip r:embed="rId20" cstate="print"/>
                    <a:srcRect/>
                    <a:stretch>
                      <a:fillRect/>
                    </a:stretch>
                  </pic:blipFill>
                  <pic:spPr>
                    <a:xfrm>
                      <a:off x="0" y="0"/>
                      <a:ext cx="5610225" cy="7620000"/>
                    </a:xfrm>
                    <a:prstGeom prst="rect">
                      <a:avLst/>
                    </a:prstGeom>
                    <a:noFill/>
                    <a:ln w="9525">
                      <a:noFill/>
                      <a:miter lim="800000"/>
                      <a:headEnd/>
                      <a:tailEnd/>
                    </a:ln>
                  </pic:spPr>
                </pic:pic>
              </a:graphicData>
            </a:graphic>
          </wp:inline>
        </w:drawing>
      </w:r>
      <w:r>
        <w:rPr>
          <w:rFonts w:hint="eastAsia"/>
        </w:rPr>
        <w:drawing>
          <wp:inline distT="0" distB="0" distL="0" distR="0">
            <wp:extent cx="5610225" cy="7620000"/>
            <wp:effectExtent l="19050" t="0" r="9525" b="0"/>
            <wp:docPr id="13" name="图片 13" descr="../新建文件夹%20(7)/中国工商银行股份有限公司2019年度报告（A股）1339110100_页面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新建文件夹%20(7)/中国工商银行股份有限公司2019年度报告（A股）1339110100_页面_09.jpg"/>
                    <pic:cNvPicPr>
                      <a:picLocks noChangeAspect="1" noChangeArrowheads="1"/>
                    </pic:cNvPicPr>
                  </pic:nvPicPr>
                  <pic:blipFill>
                    <a:blip r:embed="rId21" cstate="print"/>
                    <a:srcRect/>
                    <a:stretch>
                      <a:fillRect/>
                    </a:stretch>
                  </pic:blipFill>
                  <pic:spPr>
                    <a:xfrm>
                      <a:off x="0" y="0"/>
                      <a:ext cx="5610225" cy="7620000"/>
                    </a:xfrm>
                    <a:prstGeom prst="rect">
                      <a:avLst/>
                    </a:prstGeom>
                    <a:noFill/>
                    <a:ln w="9525">
                      <a:noFill/>
                      <a:miter lim="800000"/>
                      <a:headEnd/>
                      <a:tailEnd/>
                    </a:ln>
                  </pic:spPr>
                </pic:pic>
              </a:graphicData>
            </a:graphic>
          </wp:inline>
        </w:drawing>
      </w:r>
      <w:r>
        <w:rPr>
          <w:rFonts w:hint="eastAsia"/>
        </w:rPr>
        <w:drawing>
          <wp:inline distT="0" distB="0" distL="0" distR="0">
            <wp:extent cx="5610225" cy="7620000"/>
            <wp:effectExtent l="19050" t="0" r="9525" b="0"/>
            <wp:docPr id="14" name="图片 14" descr="../新建文件夹%20(7)/中国工商银行股份有限公司2019年度报告（A股）1339110100_页面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新建文件夹%20(7)/中国工商银行股份有限公司2019年度报告（A股）1339110100_页面_10.jpg"/>
                    <pic:cNvPicPr>
                      <a:picLocks noChangeAspect="1" noChangeArrowheads="1"/>
                    </pic:cNvPicPr>
                  </pic:nvPicPr>
                  <pic:blipFill>
                    <a:blip r:embed="rId22" cstate="print"/>
                    <a:srcRect/>
                    <a:stretch>
                      <a:fillRect/>
                    </a:stretch>
                  </pic:blipFill>
                  <pic:spPr>
                    <a:xfrm>
                      <a:off x="0" y="0"/>
                      <a:ext cx="5610225" cy="7620000"/>
                    </a:xfrm>
                    <a:prstGeom prst="rect">
                      <a:avLst/>
                    </a:prstGeom>
                    <a:noFill/>
                    <a:ln w="9525">
                      <a:noFill/>
                      <a:miter lim="800000"/>
                      <a:headEnd/>
                      <a:tailEnd/>
                    </a:ln>
                  </pic:spPr>
                </pic:pic>
              </a:graphicData>
            </a:graphic>
          </wp:inline>
        </w:drawing>
      </w:r>
      <w:r>
        <w:rPr>
          <w:rFonts w:hint="eastAsia"/>
        </w:rPr>
        <w:drawing>
          <wp:inline distT="0" distB="0" distL="0" distR="0">
            <wp:extent cx="5610225" cy="7620000"/>
            <wp:effectExtent l="19050" t="0" r="9525" b="0"/>
            <wp:docPr id="15" name="图片 15" descr="../新建文件夹%20(7)/中国工商银行股份有限公司2019年度报告（A股）1339110100_页面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新建文件夹%20(7)/中国工商银行股份有限公司2019年度报告（A股）1339110100_页面_12.jpg"/>
                    <pic:cNvPicPr>
                      <a:picLocks noChangeAspect="1" noChangeArrowheads="1"/>
                    </pic:cNvPicPr>
                  </pic:nvPicPr>
                  <pic:blipFill>
                    <a:blip r:embed="rId23" cstate="print"/>
                    <a:srcRect/>
                    <a:stretch>
                      <a:fillRect/>
                    </a:stretch>
                  </pic:blipFill>
                  <pic:spPr>
                    <a:xfrm>
                      <a:off x="0" y="0"/>
                      <a:ext cx="5610225" cy="7620000"/>
                    </a:xfrm>
                    <a:prstGeom prst="rect">
                      <a:avLst/>
                    </a:prstGeom>
                    <a:noFill/>
                    <a:ln w="9525">
                      <a:noFill/>
                      <a:miter lim="800000"/>
                      <a:headEnd/>
                      <a:tailEnd/>
                    </a:ln>
                  </pic:spPr>
                </pic:pic>
              </a:graphicData>
            </a:graphic>
          </wp:inline>
        </w:drawing>
      </w:r>
    </w:p>
    <w:p>
      <w:pPr>
        <w:widowControl/>
        <w:spacing w:line="240" w:lineRule="auto"/>
        <w:jc w:val="center"/>
        <w:rPr>
          <w:rFonts w:hint="eastAsia" w:ascii="方正大标宋_GBK" w:hAnsi="方正大标宋_GBK" w:eastAsia="方正大标宋_GBK" w:cs="方正大标宋_GBK"/>
          <w:sz w:val="44"/>
          <w:szCs w:val="44"/>
        </w:rPr>
      </w:pPr>
      <w:r>
        <w:rPr>
          <w:rFonts w:hint="eastAsia" w:ascii="方正大标宋_GBK" w:hAnsi="方正大标宋_GBK" w:eastAsia="方正大标宋_GBK" w:cs="方正大标宋_GBK"/>
          <w:sz w:val="44"/>
          <w:szCs w:val="44"/>
          <w:lang w:eastAsia="zh-CN"/>
        </w:rPr>
        <w:t>九、</w:t>
      </w:r>
      <w:r>
        <w:rPr>
          <w:rFonts w:hint="eastAsia" w:ascii="方正大标宋_GBK" w:hAnsi="方正大标宋_GBK" w:eastAsia="方正大标宋_GBK" w:cs="方正大标宋_GBK"/>
          <w:sz w:val="44"/>
          <w:szCs w:val="44"/>
        </w:rPr>
        <w:t>服务承诺书</w:t>
      </w:r>
    </w:p>
    <w:p>
      <w:pPr>
        <w:keepNext w:val="0"/>
        <w:keepLines w:val="0"/>
        <w:pageBreakBefore w:val="0"/>
        <w:widowControl w:val="0"/>
        <w:kinsoku/>
        <w:wordWrap/>
        <w:overflowPunct/>
        <w:topLinePunct w:val="0"/>
        <w:autoSpaceDE/>
        <w:autoSpaceDN/>
        <w:bidi w:val="0"/>
        <w:adjustRightInd/>
        <w:snapToGrid/>
        <w:spacing w:before="387" w:beforeLines="100" w:line="590" w:lineRule="exact"/>
        <w:ind w:right="-420" w:rightChars="-150"/>
        <w:jc w:val="left"/>
        <w:textAlignment w:val="auto"/>
        <w:outlineLvl w:val="0"/>
        <w:rPr>
          <w:rFonts w:hint="eastAsia" w:ascii="宋体" w:hAnsi="宋体" w:cs="宋体"/>
          <w:b/>
          <w:sz w:val="32"/>
          <w:szCs w:val="32"/>
        </w:rPr>
      </w:pPr>
      <w:r>
        <w:rPr>
          <w:rFonts w:hint="eastAsia" w:ascii="宋体" w:hAnsi="宋体" w:cs="宋体"/>
          <w:sz w:val="32"/>
          <w:szCs w:val="32"/>
        </w:rPr>
        <w:t>中国科学院西北高原生物研究所</w:t>
      </w:r>
      <w:r>
        <w:rPr>
          <w:rFonts w:hint="eastAsia" w:ascii="宋体" w:hAnsi="宋体" w:cs="宋体"/>
          <w:b/>
          <w:bCs/>
          <w:sz w:val="32"/>
          <w:szCs w:val="32"/>
        </w:rPr>
        <w:t>：</w:t>
      </w:r>
    </w:p>
    <w:p>
      <w:pPr>
        <w:spacing w:line="590" w:lineRule="exact"/>
        <w:jc w:val="left"/>
        <w:rPr>
          <w:rFonts w:hint="eastAsia" w:ascii="宋体" w:hAnsi="宋体" w:cs="宋体"/>
          <w:sz w:val="32"/>
          <w:szCs w:val="32"/>
        </w:rPr>
      </w:pPr>
      <w:r>
        <w:rPr>
          <w:rFonts w:hint="eastAsia" w:ascii="宋体" w:hAnsi="宋体" w:cs="宋体"/>
          <w:sz w:val="32"/>
          <w:szCs w:val="32"/>
        </w:rPr>
        <w:t xml:space="preserve">    我行通过贵单位门户网获悉《中国科学院西北高原生物研究所代发工资银行竞争性选择公告2020-05-08》。经我行充分研读公告内容、要求以及评选办法后，决定参加贵单位代发工资项目合作银行资格遴选竞争事宜。</w:t>
      </w:r>
    </w:p>
    <w:p>
      <w:pPr>
        <w:tabs>
          <w:tab w:val="left" w:pos="360"/>
          <w:tab w:val="left" w:pos="540"/>
        </w:tabs>
        <w:snapToGrid w:val="0"/>
        <w:spacing w:line="590" w:lineRule="exact"/>
        <w:ind w:firstLine="640" w:firstLineChars="200"/>
        <w:rPr>
          <w:rFonts w:hint="eastAsia" w:ascii="宋体" w:hAnsi="宋体" w:cs="宋体"/>
          <w:color w:val="000000"/>
          <w:sz w:val="32"/>
          <w:szCs w:val="32"/>
        </w:rPr>
      </w:pPr>
      <w:r>
        <w:rPr>
          <w:rFonts w:hint="eastAsia" w:ascii="宋体" w:hAnsi="宋体" w:cs="宋体"/>
          <w:sz w:val="32"/>
          <w:szCs w:val="32"/>
        </w:rPr>
        <w:t>贵单位成立伊始在我行开立基本账户，与我行建立多年友好关系，是我行重要业务合作伙伴。开展的业务主要包括：对公存款、企业网银、银企互联等。我行将利用丰富的金融服务资源，为贵单位提供可靠的金融服务保障,同时提供全产品金融服务,不但能够达到并满足贵单位代发工资项目内容及要求，而且在金融同业中力争做到金融服务最优、综合服务最全，旨在</w:t>
      </w:r>
      <w:r>
        <w:rPr>
          <w:rFonts w:hint="eastAsia" w:ascii="宋体" w:hAnsi="宋体" w:cs="宋体"/>
          <w:color w:val="000000"/>
          <w:sz w:val="32"/>
          <w:szCs w:val="32"/>
        </w:rPr>
        <w:t>全力支持贵单位的业务发展，真正实现“强强联合、双方共赢”。</w:t>
      </w:r>
    </w:p>
    <w:p>
      <w:pPr>
        <w:tabs>
          <w:tab w:val="left" w:pos="360"/>
          <w:tab w:val="left" w:pos="540"/>
        </w:tabs>
        <w:snapToGrid w:val="0"/>
        <w:spacing w:line="590" w:lineRule="exact"/>
        <w:ind w:firstLine="640" w:firstLineChars="200"/>
        <w:jc w:val="left"/>
        <w:rPr>
          <w:rFonts w:hint="eastAsia" w:ascii="宋体" w:hAnsi="宋体" w:cs="宋体"/>
          <w:sz w:val="32"/>
          <w:szCs w:val="32"/>
        </w:rPr>
      </w:pPr>
      <w:r>
        <w:rPr>
          <w:rFonts w:hint="eastAsia" w:ascii="宋体" w:hAnsi="宋体" w:cs="宋体"/>
          <w:sz w:val="32"/>
          <w:szCs w:val="32"/>
          <w:lang w:val="de-DE"/>
        </w:rPr>
        <w:t>现将我行就贵单位“代发工资项目”服务承诺书呈送贵单位，</w:t>
      </w:r>
      <w:r>
        <w:rPr>
          <w:rFonts w:hint="eastAsia" w:ascii="宋体" w:hAnsi="宋体" w:cs="宋体"/>
          <w:sz w:val="32"/>
          <w:szCs w:val="32"/>
        </w:rPr>
        <w:t>我行将一如既往竭诚为贵单位提供优质服务</w:t>
      </w:r>
      <w:r>
        <w:rPr>
          <w:rFonts w:hint="eastAsia" w:ascii="宋体" w:hAnsi="宋体" w:cs="宋体"/>
          <w:sz w:val="32"/>
          <w:szCs w:val="32"/>
          <w:lang w:val="de-DE"/>
        </w:rPr>
        <w:t>！</w:t>
      </w:r>
    </w:p>
    <w:p>
      <w:pPr>
        <w:pStyle w:val="2"/>
        <w:rPr>
          <w:rFonts w:hint="eastAsia"/>
          <w:sz w:val="44"/>
          <w:szCs w:val="44"/>
        </w:rPr>
      </w:pPr>
    </w:p>
    <w:p>
      <w:pPr>
        <w:rPr>
          <w:rFonts w:hint="eastAsia"/>
        </w:rPr>
      </w:pPr>
    </w:p>
    <w:p>
      <w:pPr>
        <w:rPr>
          <w:rFonts w:hint="eastAsia"/>
        </w:rPr>
      </w:pPr>
    </w:p>
    <w:p>
      <w:pPr>
        <w:rPr>
          <w:rFonts w:hint="eastAsia"/>
        </w:rPr>
      </w:pPr>
    </w:p>
    <w:p>
      <w:pPr>
        <w:rPr>
          <w:rFonts w:hint="eastAsia"/>
        </w:rPr>
      </w:pPr>
    </w:p>
    <w:p>
      <w:pPr>
        <w:tabs>
          <w:tab w:val="left" w:pos="360"/>
          <w:tab w:val="left" w:pos="540"/>
        </w:tabs>
        <w:snapToGrid w:val="0"/>
        <w:spacing w:line="590" w:lineRule="exact"/>
        <w:rPr>
          <w:rFonts w:hint="eastAsia" w:ascii="宋体" w:hAnsi="宋体" w:cs="宋体"/>
          <w:b w:val="0"/>
          <w:bCs/>
          <w:sz w:val="36"/>
          <w:szCs w:val="36"/>
        </w:rPr>
      </w:pPr>
      <w:r>
        <w:rPr>
          <w:rFonts w:hint="eastAsia" w:ascii="黑体" w:hAnsi="黑体" w:eastAsia="黑体" w:cs="黑体"/>
          <w:b w:val="0"/>
          <w:bCs/>
          <w:sz w:val="32"/>
          <w:szCs w:val="32"/>
        </w:rPr>
        <w:t xml:space="preserve">    一、中国工商银行基本情况简介</w:t>
      </w:r>
    </w:p>
    <w:p>
      <w:pPr>
        <w:pStyle w:val="38"/>
        <w:widowControl/>
        <w:spacing w:before="0" w:after="0" w:line="590" w:lineRule="exact"/>
        <w:ind w:firstLine="0" w:firstLineChars="0"/>
        <w:rPr>
          <w:rFonts w:hint="eastAsia" w:ascii="仿宋" w:hAnsi="仿宋" w:eastAsia="仿宋" w:cs="仿宋"/>
          <w:b/>
          <w:bCs w:val="0"/>
          <w:sz w:val="32"/>
        </w:rPr>
      </w:pPr>
      <w:bookmarkStart w:id="5" w:name="_Toc20923"/>
      <w:bookmarkStart w:id="6" w:name="_Toc28771"/>
      <w:r>
        <w:rPr>
          <w:rFonts w:hint="eastAsia" w:ascii="宋体" w:hAnsi="宋体" w:eastAsia="宋体" w:cs="宋体"/>
          <w:sz w:val="32"/>
        </w:rPr>
        <w:t xml:space="preserve">   </w:t>
      </w:r>
      <w:r>
        <w:rPr>
          <w:rFonts w:hint="eastAsia" w:asciiTheme="minorEastAsia" w:hAnsiTheme="minorEastAsia" w:eastAsiaTheme="minorEastAsia" w:cstheme="minorEastAsia"/>
          <w:b w:val="0"/>
          <w:bCs/>
          <w:sz w:val="32"/>
        </w:rPr>
        <w:t>（一）中国工商银行基本情况及经营状况介绍</w:t>
      </w:r>
      <w:bookmarkEnd w:id="5"/>
      <w:bookmarkEnd w:id="6"/>
    </w:p>
    <w:p>
      <w:pPr>
        <w:spacing w:line="590" w:lineRule="exact"/>
        <w:ind w:firstLine="640" w:firstLineChars="200"/>
        <w:jc w:val="left"/>
        <w:rPr>
          <w:rFonts w:hint="eastAsia" w:ascii="宋体" w:hAnsi="宋体" w:cs="宋体"/>
          <w:sz w:val="32"/>
          <w:szCs w:val="32"/>
        </w:rPr>
      </w:pPr>
      <w:r>
        <w:rPr>
          <w:rFonts w:hint="eastAsia" w:ascii="宋体" w:hAnsi="宋体" w:cs="宋体"/>
          <w:sz w:val="32"/>
          <w:szCs w:val="32"/>
        </w:rPr>
        <w:t>中国工商银行成立于1984年1月1日，并于2005年10</w:t>
      </w:r>
    </w:p>
    <w:p>
      <w:pPr>
        <w:spacing w:line="590" w:lineRule="exact"/>
        <w:jc w:val="left"/>
        <w:rPr>
          <w:rFonts w:hint="eastAsia" w:ascii="宋体" w:hAnsi="宋体" w:cs="宋体"/>
          <w:bCs/>
          <w:sz w:val="32"/>
          <w:szCs w:val="32"/>
        </w:rPr>
      </w:pPr>
      <w:r>
        <w:rPr>
          <w:rFonts w:hint="eastAsia" w:ascii="宋体" w:hAnsi="宋体" w:cs="宋体"/>
          <w:sz w:val="32"/>
          <w:szCs w:val="32"/>
        </w:rPr>
        <w:t>月28日整体改制为中国工商银行股份有限公司。2006年10月27日，改制后的工商银行成功在上海证券交易所和香港联合交易所挂牌上市。通过持续努力和稳健发展，工商银行已经迈入世界领先大银行行列，成长为全球市值最大、客户存款最多、盈利最多的上市银行。拥有优质的客户基础、多元的业务结构、强劲的创新能力和市场竞争力。工商银行业务跨越六大洲47个国家和地区，共有1.6万余家境内机构、426家境外机构和遍布全球的1545家代理行，以及网上银行、电话银行和自助银行等分销渠道，累计向809.8万公司客户和6.5亿个人客户提供广泛的金融产品和服务，形成了以商业银行为主体，跨市场、国际化的经营格局，在商业银行业务领域保持国内市场领先地位。工商银行始终坚持“以客户为中心，服务创造价值”的经营宗旨，持续提升金融服务水平，不断丰富品牌内涵，“您身边的银行 可信赖的银行”品牌形象深入人心，成为中国消费者首选的银行品牌和全球最具价值的金融品牌。工商银行已经构建了全球唯一的24小时不间断人民币交易清算业务体系，是首家拥有横跨亚、欧、美三大时区境外人民币清算行的金融机构，是中国“一带一路”战略规划带上覆盖面最广的中资银行。</w:t>
      </w:r>
      <w:r>
        <w:rPr>
          <w:rFonts w:hint="eastAsia" w:ascii="宋体" w:hAnsi="宋体" w:cs="宋体"/>
          <w:bCs/>
          <w:sz w:val="32"/>
          <w:szCs w:val="32"/>
        </w:rPr>
        <w:t>2019年，中国工商银行实现拨备前利润5707亿元，比上年增长6.9%，继续保持良好的盈利成长性。实现净利润3134亿元，比上年增长4.9%，净利润总量保持全球银行业最好水平。总资产达到301094.36亿元，比上年末增加24098.96亿元，增长8.7%，其中：客户贷款及垫款总额增加167613.19亿元，增长8.7%；实现营业收入7760.02亿元，同比增长7.0%；利息净收入6069.26亿元，同比增长6.0%。2019年客户基础：对公客户809.8万户；个人客户净增4300万户，创近年来最好水平，总量达6.5亿，新增个人存款10413亿元，同比增长20.03%；信用卡客户破亿，领先全球同业。中国工商银行以服务供给侧结构性改革为主线，突出服务实体经济重点领域和关键环节，主要是支持国家重大战略规划实施落地，服务四大板块、三大支撑带、粤港澳大湾区等重点区域协同发展以及高速铁路、高速公路、城市轨道交通、港口、机场等领域的建设融资需求。2020年初，为更好支持疫情防控企业、推动实体经济稳健发展，工商银行专门设立支持疫情防控专项基金20亿元，为抗击疫情相关企业提供股权融资等支持，助力防疫相关企业增强资本实力和抵御风险能力。</w:t>
      </w:r>
    </w:p>
    <w:p>
      <w:pPr>
        <w:spacing w:line="590" w:lineRule="exact"/>
        <w:ind w:firstLine="640" w:firstLineChars="200"/>
        <w:jc w:val="distribute"/>
        <w:rPr>
          <w:rFonts w:hint="eastAsia" w:ascii="宋体" w:hAnsi="宋体" w:cs="宋体"/>
          <w:bCs/>
          <w:sz w:val="32"/>
          <w:szCs w:val="32"/>
        </w:rPr>
      </w:pPr>
    </w:p>
    <w:p>
      <w:pPr>
        <w:spacing w:line="590" w:lineRule="exact"/>
        <w:ind w:firstLine="640" w:firstLineChars="200"/>
        <w:jc w:val="distribute"/>
        <w:rPr>
          <w:rFonts w:hint="eastAsia" w:ascii="宋体" w:hAnsi="宋体" w:cs="宋体"/>
          <w:bCs/>
          <w:sz w:val="32"/>
          <w:szCs w:val="32"/>
        </w:rPr>
      </w:pPr>
    </w:p>
    <w:p>
      <w:pPr>
        <w:pStyle w:val="2"/>
        <w:rPr>
          <w:rFonts w:hint="eastAsia"/>
          <w:sz w:val="44"/>
          <w:szCs w:val="44"/>
        </w:rPr>
      </w:pPr>
    </w:p>
    <w:tbl>
      <w:tblPr>
        <w:tblStyle w:val="21"/>
        <w:tblpPr w:leftFromText="180" w:rightFromText="180" w:vertAnchor="text" w:horzAnchor="page" w:tblpX="2360" w:tblpY="590"/>
        <w:tblOverlap w:val="never"/>
        <w:tblW w:w="0" w:type="auto"/>
        <w:tblInd w:w="0" w:type="dxa"/>
        <w:tblLayout w:type="fixed"/>
        <w:tblCellMar>
          <w:top w:w="15" w:type="dxa"/>
          <w:left w:w="15" w:type="dxa"/>
          <w:bottom w:w="15" w:type="dxa"/>
          <w:right w:w="15" w:type="dxa"/>
        </w:tblCellMar>
      </w:tblPr>
      <w:tblGrid>
        <w:gridCol w:w="924"/>
        <w:gridCol w:w="1608"/>
        <w:gridCol w:w="3120"/>
        <w:gridCol w:w="1824"/>
      </w:tblGrid>
      <w:tr>
        <w:tblPrEx>
          <w:tblCellMar>
            <w:top w:w="15" w:type="dxa"/>
            <w:left w:w="15" w:type="dxa"/>
            <w:bottom w:w="15" w:type="dxa"/>
            <w:right w:w="15" w:type="dxa"/>
          </w:tblCellMar>
        </w:tblPrEx>
        <w:trPr>
          <w:trHeight w:val="285" w:hRule="atLeast"/>
        </w:trPr>
        <w:tc>
          <w:tcPr>
            <w:tcW w:w="2532" w:type="dxa"/>
            <w:gridSpan w:val="2"/>
            <w:tcBorders>
              <w:top w:val="single" w:color="000000" w:sz="4" w:space="0"/>
              <w:left w:val="single" w:color="000000" w:sz="4" w:space="0"/>
              <w:bottom w:val="single" w:color="000000" w:sz="4" w:space="0"/>
              <w:right w:val="single" w:color="000000" w:sz="4" w:space="0"/>
            </w:tcBorders>
            <w:shd w:val="clear" w:color="auto" w:fill="FFFF00"/>
            <w:vAlign w:val="center"/>
          </w:tcPr>
          <w:p>
            <w:pPr>
              <w:adjustRightInd w:val="0"/>
              <w:snapToGrid w:val="0"/>
              <w:jc w:val="center"/>
              <w:rPr>
                <w:rFonts w:hint="eastAsia" w:ascii="宋体" w:hAnsi="宋体" w:cs="宋体"/>
                <w:color w:val="000000"/>
                <w:sz w:val="21"/>
                <w:szCs w:val="21"/>
                <w:highlight w:val="yellow"/>
              </w:rPr>
            </w:pPr>
            <w:r>
              <w:rPr>
                <w:rFonts w:hint="eastAsia" w:ascii="宋体" w:hAnsi="宋体" w:cs="宋体"/>
                <w:color w:val="000000"/>
                <w:kern w:val="0"/>
                <w:sz w:val="21"/>
                <w:szCs w:val="21"/>
                <w:highlight w:val="yellow"/>
              </w:rPr>
              <w:t>评审内容</w:t>
            </w:r>
          </w:p>
        </w:tc>
        <w:tc>
          <w:tcPr>
            <w:tcW w:w="3120" w:type="dxa"/>
            <w:tcBorders>
              <w:top w:val="single" w:color="000000" w:sz="4" w:space="0"/>
              <w:left w:val="single" w:color="000000" w:sz="4" w:space="0"/>
              <w:bottom w:val="single" w:color="000000" w:sz="4" w:space="0"/>
              <w:right w:val="single" w:color="000000" w:sz="4" w:space="0"/>
            </w:tcBorders>
            <w:shd w:val="clear" w:color="auto" w:fill="FFFF00"/>
            <w:vAlign w:val="center"/>
          </w:tcPr>
          <w:p>
            <w:pPr>
              <w:widowControl/>
              <w:jc w:val="center"/>
              <w:textAlignment w:val="center"/>
              <w:rPr>
                <w:rFonts w:hint="eastAsia" w:ascii="宋体" w:hAnsi="宋体" w:cs="宋体"/>
                <w:color w:val="000000"/>
                <w:sz w:val="21"/>
                <w:szCs w:val="21"/>
                <w:highlight w:val="yellow"/>
              </w:rPr>
            </w:pPr>
            <w:r>
              <w:rPr>
                <w:rFonts w:hint="eastAsia" w:ascii="宋体" w:hAnsi="宋体" w:cs="宋体"/>
                <w:color w:val="000000"/>
                <w:kern w:val="0"/>
                <w:sz w:val="21"/>
                <w:szCs w:val="21"/>
                <w:highlight w:val="yellow"/>
              </w:rPr>
              <w:t>数据</w:t>
            </w:r>
          </w:p>
        </w:tc>
        <w:tc>
          <w:tcPr>
            <w:tcW w:w="1824" w:type="dxa"/>
            <w:tcBorders>
              <w:top w:val="single" w:color="000000" w:sz="4" w:space="0"/>
              <w:left w:val="single" w:color="000000" w:sz="4" w:space="0"/>
              <w:bottom w:val="single" w:color="000000" w:sz="4" w:space="0"/>
              <w:right w:val="single" w:color="000000" w:sz="4" w:space="0"/>
            </w:tcBorders>
            <w:shd w:val="clear" w:color="auto" w:fill="FFFF00"/>
            <w:vAlign w:val="center"/>
          </w:tcPr>
          <w:p>
            <w:pPr>
              <w:widowControl/>
              <w:jc w:val="center"/>
              <w:textAlignment w:val="center"/>
              <w:rPr>
                <w:rFonts w:hint="eastAsia" w:ascii="宋体" w:hAnsi="宋体" w:cs="宋体"/>
                <w:color w:val="000000"/>
                <w:sz w:val="21"/>
                <w:szCs w:val="21"/>
                <w:highlight w:val="yellow"/>
              </w:rPr>
            </w:pPr>
            <w:r>
              <w:rPr>
                <w:rFonts w:hint="eastAsia" w:ascii="宋体" w:hAnsi="宋体" w:cs="宋体"/>
                <w:color w:val="000000"/>
                <w:kern w:val="0"/>
                <w:sz w:val="21"/>
                <w:szCs w:val="21"/>
                <w:highlight w:val="yellow"/>
              </w:rPr>
              <w:t>说明</w:t>
            </w:r>
          </w:p>
        </w:tc>
      </w:tr>
      <w:tr>
        <w:tblPrEx>
          <w:tblCellMar>
            <w:top w:w="15" w:type="dxa"/>
            <w:left w:w="15" w:type="dxa"/>
            <w:bottom w:w="15" w:type="dxa"/>
            <w:right w:w="15" w:type="dxa"/>
          </w:tblCellMar>
        </w:tblPrEx>
        <w:trPr>
          <w:trHeight w:val="285" w:hRule="atLeast"/>
        </w:trPr>
        <w:tc>
          <w:tcPr>
            <w:tcW w:w="924"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rPr>
              <w:t>经营状况</w:t>
            </w:r>
          </w:p>
        </w:tc>
        <w:tc>
          <w:tcPr>
            <w:tcW w:w="160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rPr>
              <w:t>净资产总额</w:t>
            </w:r>
          </w:p>
        </w:tc>
        <w:tc>
          <w:tcPr>
            <w:tcW w:w="312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cs="宋体"/>
                <w:color w:val="000000"/>
                <w:sz w:val="21"/>
                <w:szCs w:val="21"/>
              </w:rPr>
            </w:pPr>
            <w:r>
              <w:rPr>
                <w:rFonts w:hint="eastAsia" w:ascii="宋体" w:hAnsi="宋体" w:cs="宋体"/>
                <w:color w:val="000000"/>
                <w:kern w:val="0"/>
                <w:sz w:val="21"/>
                <w:szCs w:val="21"/>
              </w:rPr>
              <w:t>301097.36亿元</w:t>
            </w:r>
          </w:p>
        </w:tc>
        <w:tc>
          <w:tcPr>
            <w:tcW w:w="182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cs="宋体"/>
                <w:color w:val="000000"/>
                <w:sz w:val="21"/>
                <w:szCs w:val="21"/>
              </w:rPr>
            </w:pPr>
            <w:r>
              <w:rPr>
                <w:rFonts w:hint="eastAsia" w:ascii="宋体" w:hAnsi="宋体" w:cs="宋体"/>
                <w:color w:val="000000"/>
                <w:sz w:val="21"/>
                <w:szCs w:val="21"/>
              </w:rPr>
              <w:t>2019年末总行数据</w:t>
            </w:r>
          </w:p>
        </w:tc>
      </w:tr>
      <w:tr>
        <w:tblPrEx>
          <w:tblCellMar>
            <w:top w:w="15" w:type="dxa"/>
            <w:left w:w="15" w:type="dxa"/>
            <w:bottom w:w="15" w:type="dxa"/>
            <w:right w:w="15" w:type="dxa"/>
          </w:tblCellMar>
        </w:tblPrEx>
        <w:trPr>
          <w:trHeight w:val="285" w:hRule="atLeast"/>
        </w:trPr>
        <w:tc>
          <w:tcPr>
            <w:tcW w:w="924" w:type="dxa"/>
            <w:vMerge w:val="continue"/>
            <w:tcBorders>
              <w:top w:val="single" w:color="000000" w:sz="4" w:space="0"/>
              <w:left w:val="single" w:color="000000" w:sz="4" w:space="0"/>
              <w:right w:val="single" w:color="000000" w:sz="4" w:space="0"/>
            </w:tcBorders>
            <w:vAlign w:val="center"/>
          </w:tcPr>
          <w:p>
            <w:pPr>
              <w:jc w:val="center"/>
              <w:rPr>
                <w:rFonts w:hint="eastAsia" w:ascii="宋体" w:hAnsi="宋体" w:cs="宋体"/>
                <w:color w:val="000000"/>
                <w:sz w:val="21"/>
                <w:szCs w:val="21"/>
              </w:rPr>
            </w:pPr>
          </w:p>
        </w:tc>
        <w:tc>
          <w:tcPr>
            <w:tcW w:w="160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cs="宋体"/>
                <w:kern w:val="0"/>
                <w:sz w:val="21"/>
                <w:szCs w:val="21"/>
              </w:rPr>
            </w:pPr>
            <w:r>
              <w:rPr>
                <w:rFonts w:hint="eastAsia" w:ascii="宋体" w:hAnsi="宋体" w:cs="宋体"/>
                <w:kern w:val="0"/>
                <w:sz w:val="21"/>
                <w:szCs w:val="21"/>
              </w:rPr>
              <w:t>资本充足率</w:t>
            </w:r>
          </w:p>
        </w:tc>
        <w:tc>
          <w:tcPr>
            <w:tcW w:w="312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cs="宋体"/>
                <w:kern w:val="0"/>
                <w:sz w:val="21"/>
                <w:szCs w:val="21"/>
              </w:rPr>
            </w:pPr>
            <w:r>
              <w:rPr>
                <w:rFonts w:hint="eastAsia" w:ascii="宋体" w:hAnsi="宋体" w:cs="宋体"/>
                <w:kern w:val="0"/>
                <w:sz w:val="21"/>
                <w:szCs w:val="21"/>
              </w:rPr>
              <w:t>16.77%</w:t>
            </w:r>
          </w:p>
        </w:tc>
        <w:tc>
          <w:tcPr>
            <w:tcW w:w="182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cs="宋体"/>
                <w:color w:val="000000"/>
                <w:sz w:val="21"/>
                <w:szCs w:val="21"/>
              </w:rPr>
            </w:pPr>
            <w:r>
              <w:rPr>
                <w:rFonts w:hint="eastAsia" w:ascii="宋体" w:hAnsi="宋体" w:cs="宋体"/>
                <w:color w:val="000000"/>
                <w:sz w:val="21"/>
                <w:szCs w:val="21"/>
              </w:rPr>
              <w:t>2019年末总行数据</w:t>
            </w:r>
          </w:p>
        </w:tc>
      </w:tr>
      <w:tr>
        <w:tblPrEx>
          <w:tblCellMar>
            <w:top w:w="15" w:type="dxa"/>
            <w:left w:w="15" w:type="dxa"/>
            <w:bottom w:w="15" w:type="dxa"/>
            <w:right w:w="15" w:type="dxa"/>
          </w:tblCellMar>
        </w:tblPrEx>
        <w:trPr>
          <w:trHeight w:val="285" w:hRule="atLeast"/>
        </w:trPr>
        <w:tc>
          <w:tcPr>
            <w:tcW w:w="924" w:type="dxa"/>
            <w:vMerge w:val="continue"/>
            <w:tcBorders>
              <w:left w:val="single" w:color="000000" w:sz="4" w:space="0"/>
              <w:right w:val="single" w:color="000000" w:sz="4" w:space="0"/>
            </w:tcBorders>
            <w:vAlign w:val="center"/>
          </w:tcPr>
          <w:p>
            <w:pPr>
              <w:jc w:val="center"/>
              <w:rPr>
                <w:rFonts w:hint="eastAsia" w:ascii="宋体" w:hAnsi="宋体" w:cs="宋体"/>
                <w:color w:val="000000"/>
                <w:sz w:val="21"/>
                <w:szCs w:val="21"/>
              </w:rPr>
            </w:pPr>
          </w:p>
        </w:tc>
        <w:tc>
          <w:tcPr>
            <w:tcW w:w="160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cs="宋体"/>
                <w:sz w:val="21"/>
                <w:szCs w:val="21"/>
              </w:rPr>
            </w:pPr>
            <w:r>
              <w:rPr>
                <w:rFonts w:hint="eastAsia" w:ascii="宋体" w:hAnsi="宋体" w:cs="宋体"/>
                <w:kern w:val="0"/>
                <w:sz w:val="21"/>
                <w:szCs w:val="21"/>
              </w:rPr>
              <w:t>不良贷款率</w:t>
            </w:r>
          </w:p>
        </w:tc>
        <w:tc>
          <w:tcPr>
            <w:tcW w:w="312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cs="宋体"/>
                <w:sz w:val="21"/>
                <w:szCs w:val="21"/>
              </w:rPr>
            </w:pPr>
            <w:r>
              <w:rPr>
                <w:rFonts w:hint="eastAsia" w:ascii="宋体" w:hAnsi="宋体" w:cs="宋体"/>
                <w:kern w:val="0"/>
                <w:sz w:val="21"/>
                <w:szCs w:val="21"/>
              </w:rPr>
              <w:t>1.43%</w:t>
            </w:r>
          </w:p>
        </w:tc>
        <w:tc>
          <w:tcPr>
            <w:tcW w:w="182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cs="宋体"/>
                <w:color w:val="000000"/>
                <w:sz w:val="21"/>
                <w:szCs w:val="21"/>
              </w:rPr>
            </w:pPr>
            <w:r>
              <w:rPr>
                <w:rFonts w:hint="eastAsia" w:ascii="宋体" w:hAnsi="宋体" w:cs="宋体"/>
                <w:color w:val="000000"/>
                <w:sz w:val="21"/>
                <w:szCs w:val="21"/>
              </w:rPr>
              <w:t>2019年末总行数据</w:t>
            </w:r>
          </w:p>
        </w:tc>
      </w:tr>
      <w:tr>
        <w:tblPrEx>
          <w:tblCellMar>
            <w:top w:w="15" w:type="dxa"/>
            <w:left w:w="15" w:type="dxa"/>
            <w:bottom w:w="15" w:type="dxa"/>
            <w:right w:w="15" w:type="dxa"/>
          </w:tblCellMar>
        </w:tblPrEx>
        <w:trPr>
          <w:trHeight w:val="285" w:hRule="atLeast"/>
        </w:trPr>
        <w:tc>
          <w:tcPr>
            <w:tcW w:w="924" w:type="dxa"/>
            <w:vMerge w:val="continue"/>
            <w:tcBorders>
              <w:left w:val="single" w:color="000000" w:sz="4" w:space="0"/>
              <w:right w:val="single" w:color="000000" w:sz="4" w:space="0"/>
            </w:tcBorders>
            <w:vAlign w:val="center"/>
          </w:tcPr>
          <w:p>
            <w:pPr>
              <w:jc w:val="center"/>
              <w:rPr>
                <w:rFonts w:hint="eastAsia" w:ascii="宋体" w:hAnsi="宋体" w:cs="宋体"/>
                <w:color w:val="000000"/>
                <w:sz w:val="21"/>
                <w:szCs w:val="21"/>
              </w:rPr>
            </w:pPr>
          </w:p>
        </w:tc>
        <w:tc>
          <w:tcPr>
            <w:tcW w:w="160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rPr>
              <w:t>资产利润率</w:t>
            </w:r>
          </w:p>
        </w:tc>
        <w:tc>
          <w:tcPr>
            <w:tcW w:w="312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cs="宋体"/>
                <w:color w:val="000000"/>
                <w:sz w:val="21"/>
                <w:szCs w:val="21"/>
              </w:rPr>
            </w:pPr>
            <w:r>
              <w:rPr>
                <w:rFonts w:hint="eastAsia" w:ascii="宋体" w:hAnsi="宋体" w:cs="宋体"/>
                <w:color w:val="000000"/>
                <w:sz w:val="21"/>
                <w:szCs w:val="21"/>
              </w:rPr>
              <w:t>1.08%</w:t>
            </w:r>
          </w:p>
        </w:tc>
        <w:tc>
          <w:tcPr>
            <w:tcW w:w="182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cs="宋体"/>
                <w:color w:val="000000"/>
                <w:sz w:val="21"/>
                <w:szCs w:val="21"/>
              </w:rPr>
            </w:pPr>
            <w:r>
              <w:rPr>
                <w:rFonts w:hint="eastAsia" w:ascii="宋体" w:hAnsi="宋体" w:cs="宋体"/>
                <w:color w:val="000000"/>
                <w:sz w:val="21"/>
                <w:szCs w:val="21"/>
              </w:rPr>
              <w:t>2019年末总行数据</w:t>
            </w:r>
          </w:p>
        </w:tc>
      </w:tr>
      <w:tr>
        <w:tblPrEx>
          <w:tblCellMar>
            <w:top w:w="15" w:type="dxa"/>
            <w:left w:w="15" w:type="dxa"/>
            <w:bottom w:w="15" w:type="dxa"/>
            <w:right w:w="15" w:type="dxa"/>
          </w:tblCellMar>
        </w:tblPrEx>
        <w:trPr>
          <w:trHeight w:val="285" w:hRule="atLeast"/>
        </w:trPr>
        <w:tc>
          <w:tcPr>
            <w:tcW w:w="924" w:type="dxa"/>
            <w:vMerge w:val="continue"/>
            <w:tcBorders>
              <w:left w:val="single" w:color="000000" w:sz="4" w:space="0"/>
              <w:right w:val="single" w:color="000000" w:sz="4" w:space="0"/>
            </w:tcBorders>
            <w:vAlign w:val="center"/>
          </w:tcPr>
          <w:p>
            <w:pPr>
              <w:jc w:val="center"/>
              <w:rPr>
                <w:rFonts w:hint="eastAsia" w:ascii="宋体" w:hAnsi="宋体" w:cs="宋体"/>
                <w:color w:val="000000"/>
                <w:sz w:val="21"/>
                <w:szCs w:val="21"/>
              </w:rPr>
            </w:pPr>
          </w:p>
        </w:tc>
        <w:tc>
          <w:tcPr>
            <w:tcW w:w="160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rPr>
              <w:t>流动性比例</w:t>
            </w:r>
          </w:p>
        </w:tc>
        <w:tc>
          <w:tcPr>
            <w:tcW w:w="312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rPr>
              <w:t>43%（人民币）</w:t>
            </w:r>
          </w:p>
        </w:tc>
        <w:tc>
          <w:tcPr>
            <w:tcW w:w="182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cs="宋体"/>
                <w:color w:val="000000"/>
                <w:sz w:val="21"/>
                <w:szCs w:val="21"/>
              </w:rPr>
            </w:pPr>
            <w:r>
              <w:rPr>
                <w:rFonts w:hint="eastAsia" w:ascii="宋体" w:hAnsi="宋体" w:cs="宋体"/>
                <w:color w:val="000000"/>
                <w:sz w:val="21"/>
                <w:szCs w:val="21"/>
              </w:rPr>
              <w:t>2019年末总行数据</w:t>
            </w:r>
          </w:p>
        </w:tc>
      </w:tr>
      <w:tr>
        <w:tblPrEx>
          <w:tblCellMar>
            <w:top w:w="15" w:type="dxa"/>
            <w:left w:w="15" w:type="dxa"/>
            <w:bottom w:w="15" w:type="dxa"/>
            <w:right w:w="15" w:type="dxa"/>
          </w:tblCellMar>
        </w:tblPrEx>
        <w:trPr>
          <w:trHeight w:val="285" w:hRule="atLeast"/>
        </w:trPr>
        <w:tc>
          <w:tcPr>
            <w:tcW w:w="924" w:type="dxa"/>
            <w:vMerge w:val="continue"/>
            <w:tcBorders>
              <w:left w:val="single" w:color="000000" w:sz="4" w:space="0"/>
              <w:bottom w:val="single" w:color="000000" w:sz="4" w:space="0"/>
              <w:right w:val="single" w:color="000000" w:sz="4" w:space="0"/>
            </w:tcBorders>
            <w:vAlign w:val="center"/>
          </w:tcPr>
          <w:p>
            <w:pPr>
              <w:jc w:val="center"/>
              <w:rPr>
                <w:rFonts w:hint="eastAsia" w:ascii="宋体" w:hAnsi="宋体" w:cs="宋体"/>
                <w:color w:val="000000"/>
                <w:sz w:val="21"/>
                <w:szCs w:val="21"/>
              </w:rPr>
            </w:pPr>
          </w:p>
        </w:tc>
        <w:tc>
          <w:tcPr>
            <w:tcW w:w="160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cs="宋体"/>
                <w:color w:val="000000"/>
                <w:kern w:val="0"/>
                <w:sz w:val="21"/>
                <w:szCs w:val="21"/>
              </w:rPr>
            </w:pPr>
            <w:r>
              <w:rPr>
                <w:rFonts w:hint="eastAsia" w:ascii="宋体" w:hAnsi="宋体" w:cs="宋体"/>
                <w:color w:val="000000"/>
                <w:kern w:val="0"/>
                <w:sz w:val="21"/>
                <w:szCs w:val="21"/>
              </w:rPr>
              <w:t>拨备覆盖率</w:t>
            </w:r>
          </w:p>
        </w:tc>
        <w:tc>
          <w:tcPr>
            <w:tcW w:w="312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cs="宋体"/>
                <w:color w:val="000000"/>
                <w:kern w:val="0"/>
                <w:sz w:val="21"/>
                <w:szCs w:val="21"/>
              </w:rPr>
            </w:pPr>
            <w:r>
              <w:rPr>
                <w:rFonts w:hint="eastAsia" w:ascii="宋体" w:hAnsi="宋体" w:cs="宋体"/>
                <w:color w:val="000000"/>
                <w:kern w:val="0"/>
                <w:sz w:val="21"/>
                <w:szCs w:val="21"/>
              </w:rPr>
              <w:t>199.32%</w:t>
            </w:r>
          </w:p>
        </w:tc>
        <w:tc>
          <w:tcPr>
            <w:tcW w:w="182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cs="宋体"/>
                <w:color w:val="000000"/>
                <w:sz w:val="21"/>
                <w:szCs w:val="21"/>
              </w:rPr>
            </w:pPr>
            <w:r>
              <w:rPr>
                <w:rFonts w:hint="eastAsia" w:ascii="宋体" w:hAnsi="宋体" w:cs="宋体"/>
                <w:color w:val="000000"/>
                <w:sz w:val="21"/>
                <w:szCs w:val="21"/>
              </w:rPr>
              <w:t>2019年末总行数据</w:t>
            </w:r>
          </w:p>
        </w:tc>
      </w:tr>
    </w:tbl>
    <w:p>
      <w:pPr>
        <w:spacing w:line="590" w:lineRule="exact"/>
        <w:ind w:firstLine="640" w:firstLineChars="200"/>
        <w:jc w:val="center"/>
        <w:rPr>
          <w:rFonts w:hint="eastAsia" w:ascii="宋体" w:hAnsi="宋体" w:cs="宋体"/>
          <w:bCs/>
          <w:sz w:val="32"/>
          <w:szCs w:val="32"/>
        </w:rPr>
      </w:pPr>
      <w:r>
        <w:rPr>
          <w:rFonts w:hint="eastAsia" w:ascii="宋体" w:hAnsi="宋体" w:cs="宋体"/>
          <w:bCs/>
          <w:sz w:val="32"/>
          <w:szCs w:val="32"/>
        </w:rPr>
        <w:t>经营状况指标</w:t>
      </w:r>
    </w:p>
    <w:p>
      <w:pPr>
        <w:spacing w:line="590" w:lineRule="exact"/>
        <w:jc w:val="left"/>
        <w:rPr>
          <w:rFonts w:hint="eastAsia" w:ascii="楷体" w:hAnsi="楷体" w:eastAsia="楷体" w:cs="楷体"/>
          <w:bCs/>
          <w:sz w:val="32"/>
          <w:szCs w:val="32"/>
        </w:rPr>
      </w:pPr>
      <w:r>
        <w:rPr>
          <w:rFonts w:hint="eastAsia" w:ascii="楷体" w:hAnsi="楷体" w:eastAsia="楷体" w:cs="楷体"/>
          <w:bCs/>
          <w:sz w:val="32"/>
          <w:szCs w:val="32"/>
        </w:rPr>
        <w:t xml:space="preserve">    </w:t>
      </w:r>
    </w:p>
    <w:p>
      <w:pPr>
        <w:spacing w:line="590" w:lineRule="exact"/>
        <w:jc w:val="left"/>
        <w:rPr>
          <w:rFonts w:hint="eastAsia" w:ascii="楷体" w:hAnsi="楷体" w:eastAsia="楷体" w:cs="楷体"/>
          <w:bCs/>
          <w:sz w:val="32"/>
          <w:szCs w:val="32"/>
        </w:rPr>
      </w:pPr>
      <w:r>
        <w:rPr>
          <w:rFonts w:hint="eastAsia" w:ascii="楷体" w:hAnsi="楷体" w:eastAsia="楷体" w:cs="楷体"/>
          <w:bCs/>
          <w:sz w:val="32"/>
          <w:szCs w:val="32"/>
        </w:rPr>
        <w:t xml:space="preserve">           </w:t>
      </w:r>
    </w:p>
    <w:p>
      <w:pPr>
        <w:spacing w:line="590" w:lineRule="exact"/>
        <w:jc w:val="left"/>
        <w:rPr>
          <w:rFonts w:hint="eastAsia" w:ascii="楷体" w:hAnsi="楷体" w:eastAsia="楷体" w:cs="楷体"/>
          <w:bCs/>
          <w:sz w:val="32"/>
          <w:szCs w:val="32"/>
        </w:rPr>
      </w:pPr>
    </w:p>
    <w:p>
      <w:pPr>
        <w:spacing w:line="590" w:lineRule="exact"/>
        <w:jc w:val="left"/>
        <w:rPr>
          <w:rFonts w:hint="eastAsia" w:ascii="楷体" w:hAnsi="楷体" w:eastAsia="楷体" w:cs="楷体"/>
          <w:bCs/>
          <w:sz w:val="32"/>
          <w:szCs w:val="32"/>
        </w:rPr>
      </w:pPr>
    </w:p>
    <w:p>
      <w:pPr>
        <w:spacing w:line="590" w:lineRule="exact"/>
        <w:jc w:val="left"/>
        <w:rPr>
          <w:rFonts w:hint="eastAsia" w:ascii="楷体" w:hAnsi="楷体" w:eastAsia="楷体" w:cs="楷体"/>
          <w:bCs/>
          <w:sz w:val="32"/>
          <w:szCs w:val="32"/>
        </w:rPr>
      </w:pPr>
    </w:p>
    <w:p>
      <w:pPr>
        <w:spacing w:line="590" w:lineRule="exact"/>
        <w:jc w:val="left"/>
        <w:rPr>
          <w:rFonts w:hint="eastAsia" w:ascii="楷体" w:hAnsi="楷体" w:eastAsia="楷体" w:cs="楷体"/>
          <w:bCs/>
          <w:sz w:val="32"/>
          <w:szCs w:val="32"/>
        </w:rPr>
      </w:pPr>
    </w:p>
    <w:p>
      <w:pPr>
        <w:pStyle w:val="38"/>
        <w:widowControl/>
        <w:spacing w:before="0" w:after="0" w:line="590" w:lineRule="exact"/>
        <w:ind w:firstLine="0" w:firstLineChars="0"/>
        <w:rPr>
          <w:rFonts w:hint="eastAsia" w:ascii="仿宋" w:hAnsi="仿宋" w:eastAsia="仿宋" w:cs="仿宋"/>
          <w:b w:val="0"/>
          <w:bCs/>
          <w:sz w:val="32"/>
        </w:rPr>
      </w:pPr>
      <w:r>
        <w:rPr>
          <w:rFonts w:hint="eastAsia" w:ascii="仿宋" w:hAnsi="仿宋" w:eastAsia="仿宋" w:cs="仿宋"/>
          <w:b w:val="0"/>
          <w:bCs/>
          <w:sz w:val="32"/>
        </w:rPr>
        <w:t xml:space="preserve">   </w:t>
      </w:r>
      <w:r>
        <w:rPr>
          <w:rFonts w:hint="eastAsia" w:asciiTheme="minorEastAsia" w:hAnsiTheme="minorEastAsia" w:eastAsiaTheme="minorEastAsia" w:cstheme="minorEastAsia"/>
          <w:b w:val="0"/>
          <w:bCs/>
          <w:sz w:val="32"/>
        </w:rPr>
        <w:t>（二）中国工商银行股份有限公司青海省分行概况</w:t>
      </w:r>
    </w:p>
    <w:p>
      <w:pPr>
        <w:spacing w:line="590" w:lineRule="exact"/>
        <w:jc w:val="left"/>
        <w:rPr>
          <w:rFonts w:hint="eastAsia" w:ascii="宋体" w:hAnsi="宋体" w:cs="宋体"/>
          <w:sz w:val="32"/>
          <w:szCs w:val="32"/>
        </w:rPr>
      </w:pPr>
      <w:r>
        <w:rPr>
          <w:rFonts w:hint="eastAsia" w:ascii="宋体" w:hAnsi="宋体" w:cs="宋体"/>
          <w:sz w:val="32"/>
          <w:szCs w:val="32"/>
        </w:rPr>
        <w:t xml:space="preserve">    中国工商银行股份有限公司青海省分行（以下简称“青海分行”）是青海省规模最大、综合实力最强的金融机构之一。青海分行始终坚持依法合规、稳健经营的原则，持续深化改革创新，加快经营转型步伐，秉承“源于社会、回馈社会、服务社会”的宗旨，以支持地方经济、服务社会民生为己任，整体经营健康快速发展。</w:t>
      </w:r>
    </w:p>
    <w:p>
      <w:pPr>
        <w:spacing w:line="590" w:lineRule="exact"/>
        <w:jc w:val="left"/>
        <w:rPr>
          <w:rFonts w:hint="eastAsia" w:ascii="宋体" w:hAnsi="宋体" w:cs="宋体"/>
          <w:color w:val="000000"/>
          <w:sz w:val="32"/>
          <w:szCs w:val="32"/>
        </w:rPr>
      </w:pPr>
      <w:r>
        <w:rPr>
          <w:rFonts w:hint="eastAsia" w:ascii="宋体" w:hAnsi="宋体" w:cs="宋体"/>
          <w:sz w:val="32"/>
          <w:szCs w:val="32"/>
        </w:rPr>
        <w:t xml:space="preserve">    1、</w:t>
      </w:r>
      <w:r>
        <w:rPr>
          <w:rFonts w:hint="eastAsia" w:ascii="宋体" w:hAnsi="宋体" w:cs="宋体"/>
          <w:color w:val="000000"/>
          <w:sz w:val="32"/>
          <w:szCs w:val="32"/>
        </w:rPr>
        <w:t>经营规模与效益稳步提升。2019年青海分行全年实现拨备前利润14.48亿元，</w:t>
      </w:r>
      <w:r>
        <w:rPr>
          <w:rFonts w:hint="eastAsia" w:ascii="宋体" w:hAnsi="宋体" w:cs="宋体"/>
          <w:sz w:val="32"/>
          <w:szCs w:val="32"/>
        </w:rPr>
        <w:t>同比增加0.42亿元，增长3％</w:t>
      </w:r>
      <w:r>
        <w:rPr>
          <w:rFonts w:hint="eastAsia" w:ascii="宋体" w:hAnsi="宋体" w:cs="宋体"/>
          <w:color w:val="000000"/>
          <w:sz w:val="32"/>
          <w:szCs w:val="32"/>
        </w:rPr>
        <w:t>；实现净利</w:t>
      </w:r>
      <w:r>
        <w:rPr>
          <w:rFonts w:hint="eastAsia" w:ascii="宋体" w:hAnsi="宋体" w:cs="宋体"/>
          <w:sz w:val="32"/>
          <w:szCs w:val="32"/>
        </w:rPr>
        <w:t>润7.62亿</w:t>
      </w:r>
      <w:r>
        <w:rPr>
          <w:rFonts w:hint="eastAsia" w:ascii="宋体" w:hAnsi="宋体" w:cs="宋体"/>
          <w:color w:val="000000"/>
          <w:sz w:val="32"/>
          <w:szCs w:val="32"/>
        </w:rPr>
        <w:t>元，同比增加</w:t>
      </w:r>
      <w:r>
        <w:rPr>
          <w:rFonts w:hint="eastAsia" w:ascii="宋体" w:hAnsi="宋体" w:cs="宋体"/>
          <w:sz w:val="32"/>
          <w:szCs w:val="32"/>
        </w:rPr>
        <w:t>0.63</w:t>
      </w:r>
      <w:r>
        <w:rPr>
          <w:rFonts w:hint="eastAsia" w:ascii="宋体" w:hAnsi="宋体" w:cs="宋体"/>
          <w:color w:val="000000"/>
          <w:sz w:val="32"/>
          <w:szCs w:val="32"/>
        </w:rPr>
        <w:t>亿元，增</w:t>
      </w:r>
      <w:r>
        <w:rPr>
          <w:rFonts w:hint="eastAsia" w:ascii="宋体" w:hAnsi="宋体" w:cs="宋体"/>
          <w:sz w:val="32"/>
          <w:szCs w:val="32"/>
        </w:rPr>
        <w:t>长8.97％</w:t>
      </w:r>
      <w:r>
        <w:rPr>
          <w:rFonts w:hint="eastAsia" w:ascii="宋体" w:hAnsi="宋体" w:cs="宋体"/>
          <w:color w:val="000000"/>
          <w:sz w:val="32"/>
          <w:szCs w:val="32"/>
        </w:rPr>
        <w:t>。2019年各项存款余额</w:t>
      </w:r>
      <w:r>
        <w:rPr>
          <w:rFonts w:hint="eastAsia" w:ascii="宋体" w:hAnsi="宋体" w:cs="宋体"/>
          <w:sz w:val="32"/>
          <w:szCs w:val="32"/>
        </w:rPr>
        <w:t>704.4</w:t>
      </w:r>
      <w:r>
        <w:rPr>
          <w:rFonts w:hint="eastAsia" w:ascii="宋体" w:hAnsi="宋体" w:cs="宋体"/>
          <w:color w:val="000000"/>
          <w:sz w:val="32"/>
          <w:szCs w:val="32"/>
        </w:rPr>
        <w:t>亿元，较年初增</w:t>
      </w:r>
      <w:r>
        <w:rPr>
          <w:rFonts w:hint="eastAsia" w:ascii="宋体" w:hAnsi="宋体" w:cs="宋体"/>
          <w:sz w:val="32"/>
          <w:szCs w:val="32"/>
        </w:rPr>
        <w:t>加6.2</w:t>
      </w:r>
      <w:r>
        <w:rPr>
          <w:rFonts w:hint="eastAsia" w:ascii="宋体" w:hAnsi="宋体" w:cs="宋体"/>
          <w:color w:val="000000"/>
          <w:sz w:val="32"/>
          <w:szCs w:val="32"/>
        </w:rPr>
        <w:t>亿元，</w:t>
      </w:r>
      <w:r>
        <w:rPr>
          <w:rFonts w:hint="eastAsia" w:ascii="宋体" w:hAnsi="宋体" w:cs="宋体"/>
          <w:sz w:val="32"/>
          <w:szCs w:val="32"/>
        </w:rPr>
        <w:t>年末各项贷款余额741.1亿元，较年初增加33.9亿元，</w:t>
      </w:r>
      <w:r>
        <w:rPr>
          <w:rFonts w:hint="eastAsia" w:ascii="宋体" w:hAnsi="宋体" w:cs="宋体"/>
          <w:color w:val="000000"/>
          <w:sz w:val="32"/>
          <w:szCs w:val="32"/>
        </w:rPr>
        <w:t>实现了信贷总量的稳步提升，保持了金融支持地方实体经济的力度不减。</w:t>
      </w:r>
    </w:p>
    <w:p>
      <w:pPr>
        <w:spacing w:line="590" w:lineRule="exact"/>
        <w:jc w:val="left"/>
        <w:rPr>
          <w:rFonts w:hint="eastAsia" w:ascii="宋体" w:hAnsi="宋体" w:cs="宋体"/>
          <w:sz w:val="32"/>
          <w:szCs w:val="32"/>
        </w:rPr>
      </w:pPr>
      <w:r>
        <w:rPr>
          <w:rFonts w:hint="eastAsia" w:ascii="宋体" w:hAnsi="宋体" w:cs="宋体"/>
          <w:sz w:val="32"/>
          <w:szCs w:val="32"/>
        </w:rPr>
        <w:t xml:space="preserve">    2、管理体制日趋完善。青海分行拥有优质的客户基础、稳定的市场地位、多元的业务结构、强劲的创新能力、市场竞争力以及卓越的品牌价值。2001年开始实行省分行直管支行的扁平化管理体制，缩短了管理链条，提高了管理效率。目前青海分行直管13个一级支行，全行对外营业网点80个，全部为智能化网点，渠道服务能力同业领先。自助银行（含自助服务区）共174个。青海分行机关按市场营销、业务管理、保障支持职能分设28个部室及直属部室，全行员工总数2196人,力求为全省工行客户提供优质的金融产品和全方位的金融服务。</w:t>
      </w:r>
    </w:p>
    <w:p>
      <w:pPr>
        <w:spacing w:line="590" w:lineRule="exact"/>
        <w:jc w:val="left"/>
        <w:rPr>
          <w:rFonts w:hint="eastAsia" w:ascii="仿宋" w:hAnsi="仿宋" w:eastAsia="仿宋" w:cs="仿宋"/>
          <w:b/>
          <w:sz w:val="32"/>
          <w:szCs w:val="32"/>
        </w:rPr>
      </w:pPr>
      <w:r>
        <w:rPr>
          <w:rFonts w:hint="eastAsia" w:ascii="宋体" w:hAnsi="宋体" w:cs="宋体"/>
          <w:bCs/>
          <w:sz w:val="32"/>
          <w:szCs w:val="32"/>
        </w:rPr>
        <w:t xml:space="preserve">   </w:t>
      </w:r>
      <w:r>
        <w:rPr>
          <w:rFonts w:hint="eastAsia" w:asciiTheme="minorEastAsia" w:hAnsiTheme="minorEastAsia" w:eastAsiaTheme="minorEastAsia" w:cstheme="minorEastAsia"/>
          <w:b w:val="0"/>
          <w:bCs/>
          <w:kern w:val="2"/>
          <w:sz w:val="32"/>
          <w:szCs w:val="32"/>
          <w:lang w:val="en-US" w:eastAsia="zh-CN" w:bidi="ar-SA"/>
        </w:rPr>
        <w:t>（三）中国工商银行股份有限公司西宁城西支行概况</w:t>
      </w:r>
    </w:p>
    <w:p>
      <w:pPr>
        <w:spacing w:line="590" w:lineRule="exact"/>
        <w:ind w:firstLine="640" w:firstLineChars="200"/>
        <w:rPr>
          <w:rFonts w:hint="eastAsia" w:ascii="宋体" w:hAnsi="宋体" w:cs="宋体"/>
          <w:bCs/>
          <w:sz w:val="32"/>
          <w:szCs w:val="32"/>
        </w:rPr>
      </w:pPr>
      <w:r>
        <w:rPr>
          <w:rFonts w:hint="eastAsia" w:ascii="宋体" w:hAnsi="宋体" w:cs="宋体"/>
          <w:sz w:val="32"/>
          <w:szCs w:val="32"/>
        </w:rPr>
        <w:t>中国工商银行股份有限公司西宁城西支行位于青海省省会西宁市城西区繁华地段，始建于1953年，原称中国人民银行西宁市古城台办事处，1986年人民银行与工商银行分设，逐步改建为中国工商银行西宁市城西支行，2005年实行股份制改造，更名为中国工商银行股份有限公司西宁城西支行。内设六部一室，辖属14个营业网点，营业范围覆盖城西区及海湖新区，从业人员242人。支行设党委，下辖14个党支部，共有在职党员54人，营业范围覆盖城西区及海湖新区。近年来，城西支行在当地政府、机关及社会各界的指导帮助下，在上级行党委的正确领导下，先后获得2016-2018年度省级文明单位、青海银行业协会安全管理先进单位、青海分行2019年信息工作先进单位等荣誉称号；支行党委被评为2018年度青海省分行先进基层党组织；支行团总支被省分行评为优秀青年小组；辖属城西支行营业室</w:t>
      </w:r>
      <w:r>
        <w:rPr>
          <w:rFonts w:hint="eastAsia" w:ascii="宋体" w:hAnsi="宋体" w:cs="宋体"/>
          <w:bCs/>
          <w:sz w:val="32"/>
          <w:szCs w:val="32"/>
        </w:rPr>
        <w:t>被中国银行业协会评为“2019年银行业文明规范服务五星级网点”</w:t>
      </w:r>
    </w:p>
    <w:p>
      <w:pPr>
        <w:spacing w:line="590" w:lineRule="exact"/>
        <w:rPr>
          <w:rFonts w:hint="eastAsia" w:ascii="宋体" w:hAnsi="宋体" w:cs="宋体"/>
          <w:bCs/>
          <w:sz w:val="32"/>
          <w:szCs w:val="32"/>
        </w:rPr>
      </w:pPr>
      <w:r>
        <w:rPr>
          <w:rFonts w:hint="eastAsia" w:ascii="宋体" w:hAnsi="宋体" w:cs="宋体"/>
          <w:bCs/>
          <w:sz w:val="32"/>
          <w:szCs w:val="32"/>
        </w:rPr>
        <w:t>、被中国金融工会青海工作委员会评为“青海金融先锋号”，文汇路支行被总行评为“服务四星级网点”，支行个金部被省分行评为2018年度青海省分行先进集体；68名员工分别受到总行、青海分行、中国金融音乐家协会、城西区委、古城台街道党工委的表彰。支行及辖属营业网点先后或多次荣获全国“企业文化建设先进单位”、全国“巾帼文明示范岗”、中国银行业协会“文明规范服务千佳示范单位”、工总行“先进基层党组织”、工总行“模范职工之家”、工总行“模范职工小家”、工总行“巾帼文明示范岗”、青海省“五一劳动奖状”、青海省“文明单位”、“青海省职工书屋”、青海银行业协会“文明规范服务示范单位”、西宁市“文明单位”、西宁市“先进纳税户”、西宁市“精神文明建设文明窗口”、西宁市“创建全国文明城市试点单位”、城西区“人口和计划生育先进集体”等荣誉称号</w:t>
      </w:r>
      <w:r>
        <w:rPr>
          <w:rFonts w:hint="eastAsia" w:ascii="宋体" w:hAnsi="宋体" w:cs="宋体"/>
          <w:bCs/>
          <w:sz w:val="32"/>
          <w:szCs w:val="32"/>
          <w:lang w:val="zh-CN"/>
        </w:rPr>
        <w:t>。</w:t>
      </w:r>
    </w:p>
    <w:p>
      <w:pPr>
        <w:adjustRightInd w:val="0"/>
        <w:snapToGrid w:val="0"/>
        <w:spacing w:line="590" w:lineRule="exact"/>
        <w:rPr>
          <w:rFonts w:hint="eastAsia" w:ascii="宋体" w:hAnsi="宋体" w:cs="宋体"/>
          <w:kern w:val="0"/>
          <w:sz w:val="36"/>
          <w:szCs w:val="36"/>
        </w:rPr>
      </w:pPr>
      <w:r>
        <w:rPr>
          <w:rFonts w:hint="eastAsia" w:ascii="黑体" w:hAnsi="黑体" w:eastAsia="黑体" w:cs="黑体"/>
          <w:sz w:val="32"/>
          <w:szCs w:val="32"/>
        </w:rPr>
        <w:t xml:space="preserve">    </w:t>
      </w:r>
      <w:r>
        <w:rPr>
          <w:rFonts w:hint="eastAsia" w:ascii="黑体" w:hAnsi="黑体" w:eastAsia="黑体" w:cs="黑体"/>
          <w:b w:val="0"/>
          <w:bCs/>
          <w:sz w:val="32"/>
          <w:szCs w:val="32"/>
        </w:rPr>
        <w:t>二、</w:t>
      </w:r>
      <w:bookmarkStart w:id="7" w:name="_Toc217651817"/>
      <w:r>
        <w:rPr>
          <w:rFonts w:hint="eastAsia" w:ascii="黑体" w:hAnsi="黑体" w:eastAsia="黑体" w:cs="黑体"/>
          <w:b w:val="0"/>
          <w:bCs/>
          <w:sz w:val="32"/>
          <w:szCs w:val="32"/>
        </w:rPr>
        <w:t>代发工资项目服务保障承诺</w:t>
      </w:r>
    </w:p>
    <w:p>
      <w:pPr>
        <w:adjustRightInd w:val="0"/>
        <w:snapToGrid w:val="0"/>
        <w:spacing w:line="590" w:lineRule="exact"/>
        <w:ind w:firstLine="640" w:firstLineChars="200"/>
        <w:jc w:val="distribute"/>
        <w:rPr>
          <w:rFonts w:hint="eastAsia" w:ascii="宋体" w:hAnsi="宋体" w:cs="宋体"/>
          <w:bCs/>
          <w:sz w:val="32"/>
          <w:szCs w:val="32"/>
        </w:rPr>
      </w:pPr>
      <w:r>
        <w:rPr>
          <w:rFonts w:hint="eastAsia" w:ascii="宋体" w:hAnsi="宋体" w:cs="宋体"/>
          <w:bCs/>
          <w:sz w:val="32"/>
          <w:szCs w:val="32"/>
        </w:rPr>
        <w:t>我行始终视贵单位为重要的业务合作伙伴，在国家相关法律、法规允许的前提下，按照商业银行的经营原则和相关政策制度规定，为贵单位提供优先、优质和高效的全方位</w:t>
      </w:r>
    </w:p>
    <w:p>
      <w:pPr>
        <w:adjustRightInd w:val="0"/>
        <w:snapToGrid w:val="0"/>
        <w:spacing w:line="590" w:lineRule="exact"/>
        <w:jc w:val="left"/>
        <w:rPr>
          <w:rFonts w:hint="eastAsia" w:ascii="宋体" w:hAnsi="宋体" w:cs="宋体"/>
          <w:bCs/>
          <w:sz w:val="32"/>
          <w:szCs w:val="32"/>
        </w:rPr>
      </w:pPr>
      <w:r>
        <w:rPr>
          <w:rFonts w:hint="eastAsia" w:ascii="宋体" w:hAnsi="宋体" w:cs="宋体"/>
          <w:bCs/>
          <w:sz w:val="32"/>
          <w:szCs w:val="32"/>
        </w:rPr>
        <w:t>金融服务。</w:t>
      </w:r>
    </w:p>
    <w:bookmarkEnd w:id="7"/>
    <w:p>
      <w:pPr>
        <w:snapToGrid w:val="0"/>
        <w:spacing w:line="590" w:lineRule="exact"/>
        <w:rPr>
          <w:rFonts w:hint="eastAsia" w:ascii="宋体" w:hAnsi="宋体" w:cs="宋体"/>
          <w:sz w:val="32"/>
          <w:szCs w:val="32"/>
        </w:rPr>
      </w:pPr>
      <w:r>
        <w:rPr>
          <w:rFonts w:hint="eastAsia" w:ascii="宋体" w:hAnsi="宋体" w:cs="宋体"/>
          <w:sz w:val="32"/>
          <w:szCs w:val="32"/>
        </w:rPr>
        <w:t xml:space="preserve">  </w:t>
      </w:r>
    </w:p>
    <w:p>
      <w:pPr>
        <w:spacing w:line="590" w:lineRule="exact"/>
        <w:jc w:val="left"/>
        <w:rPr>
          <w:rFonts w:hint="eastAsia" w:ascii="仿宋" w:hAnsi="仿宋" w:eastAsia="仿宋" w:cs="仿宋"/>
          <w:b w:val="0"/>
          <w:bCs/>
          <w:kern w:val="2"/>
          <w:sz w:val="32"/>
          <w:szCs w:val="32"/>
          <w:lang w:val="en-US" w:eastAsia="zh-CN" w:bidi="ar-SA"/>
        </w:rPr>
      </w:pPr>
      <w:r>
        <w:rPr>
          <w:rFonts w:hint="eastAsia" w:ascii="仿宋" w:hAnsi="仿宋" w:eastAsia="仿宋" w:cs="仿宋"/>
          <w:b w:val="0"/>
          <w:bCs/>
          <w:kern w:val="2"/>
          <w:sz w:val="32"/>
          <w:szCs w:val="32"/>
          <w:lang w:val="en-US" w:eastAsia="zh-CN" w:bidi="ar-SA"/>
        </w:rPr>
        <w:t xml:space="preserve"> </w:t>
      </w:r>
      <w:r>
        <w:rPr>
          <w:rFonts w:hint="eastAsia" w:asciiTheme="minorEastAsia" w:hAnsiTheme="minorEastAsia" w:eastAsiaTheme="minorEastAsia" w:cstheme="minorEastAsia"/>
          <w:b w:val="0"/>
          <w:bCs/>
          <w:kern w:val="2"/>
          <w:sz w:val="32"/>
          <w:szCs w:val="32"/>
          <w:lang w:val="en-US" w:eastAsia="zh-CN" w:bidi="ar-SA"/>
        </w:rPr>
        <w:t>（一）资金安全性保障</w:t>
      </w:r>
    </w:p>
    <w:p>
      <w:pPr>
        <w:adjustRightInd w:val="0"/>
        <w:snapToGrid w:val="0"/>
        <w:spacing w:line="590" w:lineRule="exact"/>
        <w:ind w:firstLine="643" w:firstLineChars="200"/>
        <w:jc w:val="left"/>
        <w:rPr>
          <w:rFonts w:hint="eastAsia" w:ascii="宋体" w:hAnsi="宋体" w:cs="宋体"/>
          <w:bCs/>
          <w:sz w:val="32"/>
          <w:szCs w:val="32"/>
        </w:rPr>
      </w:pPr>
      <w:r>
        <w:rPr>
          <w:rFonts w:hint="eastAsia" w:ascii="宋体" w:hAnsi="宋体" w:cs="宋体"/>
          <w:b/>
          <w:sz w:val="32"/>
          <w:szCs w:val="32"/>
        </w:rPr>
        <w:t>我行承诺：</w:t>
      </w:r>
      <w:r>
        <w:rPr>
          <w:rFonts w:hint="eastAsia" w:ascii="宋体" w:hAnsi="宋体" w:cs="宋体"/>
          <w:bCs/>
          <w:sz w:val="32"/>
          <w:szCs w:val="32"/>
        </w:rPr>
        <w:t>将整合全行资源，在组织管理、支付安全、内控合规、人员配置、业务服务、经营网点、技术支持等方面，采取从严控制业务流程、从严控制资金划拨、从严控制操作权限等措施，为贵单位资金提供全方位安全保障。</w:t>
      </w:r>
    </w:p>
    <w:p>
      <w:pPr>
        <w:tabs>
          <w:tab w:val="left" w:pos="360"/>
          <w:tab w:val="left" w:pos="540"/>
        </w:tabs>
        <w:snapToGrid w:val="0"/>
        <w:spacing w:line="590" w:lineRule="exact"/>
        <w:rPr>
          <w:rFonts w:hint="eastAsia" w:ascii="宋体" w:hAnsi="宋体" w:cs="宋体"/>
          <w:sz w:val="32"/>
          <w:szCs w:val="32"/>
        </w:rPr>
      </w:pPr>
      <w:r>
        <w:rPr>
          <w:rFonts w:hint="eastAsia" w:ascii="宋体" w:hAnsi="宋体" w:cs="宋体"/>
          <w:sz w:val="32"/>
          <w:szCs w:val="32"/>
        </w:rPr>
        <w:t xml:space="preserve"> </w:t>
      </w:r>
      <w:r>
        <w:rPr>
          <w:rFonts w:hint="eastAsia" w:asciiTheme="minorEastAsia" w:hAnsiTheme="minorEastAsia" w:eastAsiaTheme="minorEastAsia" w:cstheme="minorEastAsia"/>
          <w:b w:val="0"/>
          <w:bCs/>
          <w:kern w:val="2"/>
          <w:sz w:val="32"/>
          <w:szCs w:val="32"/>
          <w:lang w:val="en-US" w:eastAsia="zh-CN" w:bidi="ar-SA"/>
        </w:rPr>
        <w:t xml:space="preserve">  （二）专业团队保障</w:t>
      </w:r>
    </w:p>
    <w:p>
      <w:pPr>
        <w:adjustRightInd w:val="0"/>
        <w:snapToGrid w:val="0"/>
        <w:spacing w:line="590" w:lineRule="exact"/>
        <w:ind w:firstLine="640" w:firstLineChars="200"/>
        <w:jc w:val="left"/>
        <w:rPr>
          <w:rFonts w:hint="eastAsia" w:ascii="宋体" w:hAnsi="宋体" w:cs="宋体"/>
          <w:b/>
          <w:sz w:val="32"/>
          <w:szCs w:val="32"/>
        </w:rPr>
      </w:pPr>
      <w:r>
        <w:rPr>
          <w:rFonts w:hint="eastAsia" w:ascii="宋体" w:hAnsi="宋体" w:cs="宋体"/>
          <w:bCs/>
          <w:sz w:val="32"/>
          <w:szCs w:val="32"/>
        </w:rPr>
        <w:t>我行高度重视与贵单位的合作，将根据贵单位的需求成立以支行行长为组长，副行长为副组长，部门负责人、网点负责人专职客户经理为组员的高水准服务团队，竭诚为贵单位提供高质量的金融服务。</w:t>
      </w:r>
      <w:r>
        <w:rPr>
          <w:rFonts w:hint="eastAsia" w:ascii="宋体" w:hAnsi="宋体" w:cs="宋体"/>
          <w:b/>
          <w:sz w:val="32"/>
          <w:szCs w:val="32"/>
        </w:rPr>
        <w:t>我行承诺：</w:t>
      </w:r>
    </w:p>
    <w:p>
      <w:pPr>
        <w:adjustRightInd w:val="0"/>
        <w:snapToGrid w:val="0"/>
        <w:spacing w:line="590" w:lineRule="exact"/>
        <w:jc w:val="left"/>
        <w:rPr>
          <w:rFonts w:hint="eastAsia" w:ascii="宋体" w:hAnsi="宋体" w:cs="宋体"/>
          <w:bCs/>
          <w:sz w:val="32"/>
          <w:szCs w:val="32"/>
        </w:rPr>
      </w:pPr>
      <w:r>
        <w:rPr>
          <w:rFonts w:hint="eastAsia" w:ascii="宋体" w:hAnsi="宋体" w:cs="宋体"/>
          <w:bCs/>
          <w:sz w:val="32"/>
          <w:szCs w:val="32"/>
        </w:rPr>
        <w:t xml:space="preserve">    （1）根据贵单位要求指定服务机构与最终代发工资网点一致，且营业地址在西宁市城西区内，长期固定不随意转移。</w:t>
      </w:r>
    </w:p>
    <w:p>
      <w:pPr>
        <w:adjustRightInd w:val="0"/>
        <w:snapToGrid w:val="0"/>
        <w:spacing w:line="590" w:lineRule="exact"/>
        <w:jc w:val="left"/>
        <w:rPr>
          <w:rFonts w:hint="eastAsia" w:ascii="宋体" w:hAnsi="宋体" w:cs="宋体"/>
          <w:bCs/>
          <w:sz w:val="32"/>
          <w:szCs w:val="32"/>
        </w:rPr>
      </w:pPr>
      <w:r>
        <w:rPr>
          <w:rFonts w:hint="eastAsia" w:ascii="宋体" w:hAnsi="宋体" w:cs="宋体"/>
          <w:bCs/>
          <w:sz w:val="32"/>
          <w:szCs w:val="32"/>
        </w:rPr>
        <w:t xml:space="preserve">    （2）我行指定网点负责人、专职客户经理、业务操作柜员为贵单位代发工资业务提供上门服务。</w:t>
      </w:r>
    </w:p>
    <w:p>
      <w:pPr>
        <w:adjustRightInd w:val="0"/>
        <w:snapToGrid w:val="0"/>
        <w:spacing w:line="590" w:lineRule="exact"/>
        <w:ind w:firstLine="640" w:firstLineChars="200"/>
        <w:jc w:val="left"/>
        <w:rPr>
          <w:rFonts w:hint="eastAsia" w:ascii="宋体" w:hAnsi="宋体" w:cs="宋体"/>
          <w:bCs/>
          <w:sz w:val="32"/>
          <w:szCs w:val="32"/>
        </w:rPr>
      </w:pPr>
      <w:r>
        <w:rPr>
          <w:rFonts w:hint="eastAsia" w:ascii="宋体" w:hAnsi="宋体" w:cs="宋体"/>
          <w:bCs/>
          <w:sz w:val="32"/>
          <w:szCs w:val="32"/>
        </w:rPr>
        <w:t>由支行机构金融业务部牵头与相关部室网点分工合作，对贵单位业务事项给予优先处理，为贵单位各项业务提供“一站式”服务。</w:t>
      </w:r>
    </w:p>
    <w:p>
      <w:pPr>
        <w:jc w:val="center"/>
        <w:rPr>
          <w:rFonts w:hint="eastAsia" w:ascii="宋体" w:hAnsi="宋体" w:cs="宋体"/>
          <w:sz w:val="32"/>
          <w:szCs w:val="32"/>
        </w:rPr>
      </w:pPr>
    </w:p>
    <w:p>
      <w:pPr>
        <w:jc w:val="center"/>
        <w:rPr>
          <w:rFonts w:hint="eastAsia" w:ascii="宋体" w:hAnsi="宋体" w:cs="宋体"/>
          <w:sz w:val="32"/>
          <w:szCs w:val="32"/>
        </w:rPr>
      </w:pPr>
    </w:p>
    <w:p>
      <w:pPr>
        <w:jc w:val="center"/>
        <w:rPr>
          <w:rFonts w:hint="eastAsia" w:ascii="宋体" w:hAnsi="宋体" w:cs="宋体"/>
          <w:sz w:val="32"/>
          <w:szCs w:val="32"/>
        </w:rPr>
      </w:pPr>
    </w:p>
    <w:p>
      <w:pPr>
        <w:jc w:val="center"/>
        <w:rPr>
          <w:rFonts w:hint="eastAsia" w:ascii="宋体" w:hAnsi="宋体" w:cs="宋体"/>
          <w:sz w:val="32"/>
          <w:szCs w:val="32"/>
        </w:rPr>
      </w:pPr>
      <w:r>
        <w:rPr>
          <w:rFonts w:hint="eastAsia" w:ascii="宋体" w:hAnsi="宋体" w:cs="宋体"/>
          <w:sz w:val="32"/>
          <w:szCs w:val="32"/>
        </w:rPr>
        <w:t>服务支持保障团队</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2"/>
        <w:gridCol w:w="977"/>
        <w:gridCol w:w="58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2"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组  长</w:t>
            </w:r>
          </w:p>
        </w:tc>
        <w:tc>
          <w:tcPr>
            <w:tcW w:w="977"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赛堂吉</w:t>
            </w:r>
          </w:p>
        </w:tc>
        <w:tc>
          <w:tcPr>
            <w:tcW w:w="5805"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中国工商银行西宁城西支行行长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2"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副组长</w:t>
            </w:r>
          </w:p>
        </w:tc>
        <w:tc>
          <w:tcPr>
            <w:tcW w:w="977"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田  华</w:t>
            </w:r>
          </w:p>
        </w:tc>
        <w:tc>
          <w:tcPr>
            <w:tcW w:w="5805"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中国工商银行西宁城西支行副行长（对公）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2"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副组长</w:t>
            </w:r>
          </w:p>
        </w:tc>
        <w:tc>
          <w:tcPr>
            <w:tcW w:w="977"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白峻华</w:t>
            </w:r>
          </w:p>
        </w:tc>
        <w:tc>
          <w:tcPr>
            <w:tcW w:w="5805"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中国工商银行西宁城西支行副行长（个人）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2" w:type="dxa"/>
            <w:vMerge w:val="restart"/>
            <w:vAlign w:val="center"/>
          </w:tcPr>
          <w:p>
            <w:pPr>
              <w:spacing w:line="520" w:lineRule="exact"/>
              <w:rPr>
                <w:rFonts w:hint="eastAsia" w:ascii="宋体" w:hAnsi="宋体" w:cs="宋体"/>
                <w:sz w:val="24"/>
                <w:szCs w:val="24"/>
              </w:rPr>
            </w:pPr>
            <w:r>
              <w:rPr>
                <w:rFonts w:hint="eastAsia" w:ascii="宋体" w:hAnsi="宋体" w:cs="宋体"/>
                <w:sz w:val="24"/>
                <w:szCs w:val="24"/>
              </w:rPr>
              <w:t xml:space="preserve">   成 </w:t>
            </w:r>
          </w:p>
          <w:p>
            <w:pPr>
              <w:spacing w:line="520" w:lineRule="exact"/>
              <w:rPr>
                <w:rFonts w:hint="eastAsia" w:ascii="宋体" w:hAnsi="宋体" w:cs="宋体"/>
                <w:sz w:val="24"/>
                <w:szCs w:val="24"/>
              </w:rPr>
            </w:pPr>
            <w:r>
              <w:rPr>
                <w:rFonts w:hint="eastAsia" w:ascii="宋体" w:hAnsi="宋体" w:cs="宋体"/>
                <w:sz w:val="24"/>
                <w:szCs w:val="24"/>
              </w:rPr>
              <w:t xml:space="preserve">   员</w:t>
            </w:r>
          </w:p>
        </w:tc>
        <w:tc>
          <w:tcPr>
            <w:tcW w:w="977"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伊万军</w:t>
            </w:r>
          </w:p>
        </w:tc>
        <w:tc>
          <w:tcPr>
            <w:tcW w:w="5805"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中国工商银行西宁城西支行机构金融业务部主任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2" w:type="dxa"/>
            <w:vMerge w:val="continue"/>
            <w:vAlign w:val="center"/>
          </w:tcPr>
          <w:p>
            <w:pPr>
              <w:spacing w:line="520" w:lineRule="exact"/>
              <w:jc w:val="center"/>
              <w:rPr>
                <w:rFonts w:hint="eastAsia" w:ascii="宋体" w:hAnsi="宋体" w:cs="宋体"/>
                <w:sz w:val="24"/>
                <w:szCs w:val="24"/>
              </w:rPr>
            </w:pPr>
          </w:p>
        </w:tc>
        <w:tc>
          <w:tcPr>
            <w:tcW w:w="977"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任亚涛</w:t>
            </w:r>
          </w:p>
        </w:tc>
        <w:tc>
          <w:tcPr>
            <w:tcW w:w="5805"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中国工商银行西宁城西支行个人金融业务部主任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2" w:type="dxa"/>
            <w:vMerge w:val="continue"/>
            <w:vAlign w:val="center"/>
          </w:tcPr>
          <w:p>
            <w:pPr>
              <w:spacing w:line="520" w:lineRule="exact"/>
              <w:jc w:val="center"/>
              <w:rPr>
                <w:rFonts w:hint="eastAsia" w:ascii="宋体" w:hAnsi="宋体" w:cs="宋体"/>
                <w:sz w:val="24"/>
                <w:szCs w:val="24"/>
              </w:rPr>
            </w:pPr>
          </w:p>
        </w:tc>
        <w:tc>
          <w:tcPr>
            <w:tcW w:w="977"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王静波</w:t>
            </w:r>
          </w:p>
        </w:tc>
        <w:tc>
          <w:tcPr>
            <w:tcW w:w="5805"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中国工商银行西宁城西支行南川西路北支行行长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2" w:type="dxa"/>
            <w:vMerge w:val="continue"/>
            <w:vAlign w:val="center"/>
          </w:tcPr>
          <w:p>
            <w:pPr>
              <w:spacing w:line="520" w:lineRule="exact"/>
              <w:jc w:val="center"/>
              <w:rPr>
                <w:rFonts w:hint="eastAsia" w:ascii="宋体" w:hAnsi="宋体" w:cs="宋体"/>
                <w:sz w:val="24"/>
                <w:szCs w:val="24"/>
              </w:rPr>
            </w:pPr>
          </w:p>
        </w:tc>
        <w:tc>
          <w:tcPr>
            <w:tcW w:w="977"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袁  野</w:t>
            </w:r>
          </w:p>
        </w:tc>
        <w:tc>
          <w:tcPr>
            <w:tcW w:w="5805"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中国工商银行西宁城西支行南川西路北支行客户经理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2" w:type="dxa"/>
            <w:vMerge w:val="continue"/>
            <w:vAlign w:val="center"/>
          </w:tcPr>
          <w:p>
            <w:pPr>
              <w:spacing w:line="520" w:lineRule="exact"/>
              <w:jc w:val="center"/>
              <w:rPr>
                <w:rFonts w:hint="eastAsia" w:ascii="宋体" w:hAnsi="宋体" w:cs="宋体"/>
                <w:sz w:val="24"/>
                <w:szCs w:val="24"/>
              </w:rPr>
            </w:pPr>
          </w:p>
        </w:tc>
        <w:tc>
          <w:tcPr>
            <w:tcW w:w="977"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周怀鹏</w:t>
            </w:r>
          </w:p>
        </w:tc>
        <w:tc>
          <w:tcPr>
            <w:tcW w:w="5805"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中国工商银行西宁城西支行机构金融业务部客户经理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2" w:type="dxa"/>
            <w:vMerge w:val="continue"/>
            <w:vAlign w:val="center"/>
          </w:tcPr>
          <w:p>
            <w:pPr>
              <w:spacing w:line="520" w:lineRule="exact"/>
              <w:jc w:val="center"/>
              <w:rPr>
                <w:rFonts w:hint="eastAsia" w:ascii="宋体" w:hAnsi="宋体" w:cs="宋体"/>
                <w:sz w:val="24"/>
                <w:szCs w:val="24"/>
              </w:rPr>
            </w:pPr>
          </w:p>
        </w:tc>
        <w:tc>
          <w:tcPr>
            <w:tcW w:w="977"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时晨阳</w:t>
            </w:r>
          </w:p>
        </w:tc>
        <w:tc>
          <w:tcPr>
            <w:tcW w:w="5805" w:type="dxa"/>
            <w:vAlign w:val="center"/>
          </w:tcPr>
          <w:p>
            <w:pPr>
              <w:spacing w:line="520" w:lineRule="exact"/>
              <w:jc w:val="center"/>
              <w:rPr>
                <w:rFonts w:hint="eastAsia" w:ascii="宋体" w:hAnsi="宋体" w:cs="宋体"/>
                <w:sz w:val="24"/>
                <w:szCs w:val="24"/>
              </w:rPr>
            </w:pPr>
            <w:r>
              <w:rPr>
                <w:rFonts w:hint="eastAsia" w:ascii="宋体" w:hAnsi="宋体" w:cs="宋体"/>
                <w:sz w:val="24"/>
                <w:szCs w:val="24"/>
              </w:rPr>
              <w:t>中国工商银行西宁城西支行个人金融业务部客户经理</w:t>
            </w:r>
          </w:p>
        </w:tc>
      </w:tr>
    </w:tbl>
    <w:p>
      <w:pPr>
        <w:keepNext w:val="0"/>
        <w:keepLines w:val="0"/>
        <w:pageBreakBefore w:val="0"/>
        <w:widowControl w:val="0"/>
        <w:kinsoku/>
        <w:wordWrap/>
        <w:overflowPunct/>
        <w:topLinePunct w:val="0"/>
        <w:autoSpaceDE/>
        <w:autoSpaceDN/>
        <w:bidi w:val="0"/>
        <w:adjustRightInd w:val="0"/>
        <w:snapToGrid w:val="0"/>
        <w:spacing w:before="194" w:beforeLines="50" w:after="194" w:afterLines="50" w:line="590" w:lineRule="exact"/>
        <w:jc w:val="left"/>
        <w:textAlignment w:val="auto"/>
        <w:rPr>
          <w:rFonts w:hint="eastAsia" w:ascii="黑体" w:hAnsi="黑体" w:eastAsia="黑体" w:cs="黑体"/>
          <w:sz w:val="32"/>
          <w:szCs w:val="32"/>
        </w:rPr>
      </w:pPr>
      <w:r>
        <w:rPr>
          <w:rFonts w:hint="eastAsia" w:ascii="宋体" w:hAnsi="宋体" w:cs="宋体"/>
          <w:bCs/>
          <w:sz w:val="32"/>
          <w:szCs w:val="32"/>
        </w:rPr>
        <w:t xml:space="preserve">   </w:t>
      </w:r>
      <w:r>
        <w:rPr>
          <w:rFonts w:hint="eastAsia" w:ascii="黑体" w:hAnsi="黑体" w:eastAsia="黑体" w:cs="黑体"/>
          <w:b w:val="0"/>
          <w:bCs/>
          <w:sz w:val="32"/>
          <w:szCs w:val="32"/>
        </w:rPr>
        <w:t xml:space="preserve">   三、代发工资金融服务方案</w:t>
      </w:r>
    </w:p>
    <w:p>
      <w:pPr>
        <w:adjustRightInd w:val="0"/>
        <w:snapToGrid w:val="0"/>
        <w:spacing w:line="590" w:lineRule="exact"/>
        <w:ind w:firstLine="640" w:firstLineChars="200"/>
        <w:jc w:val="left"/>
        <w:rPr>
          <w:rFonts w:hint="eastAsia" w:ascii="宋体" w:hAnsi="宋体" w:cs="宋体"/>
          <w:bCs/>
          <w:sz w:val="32"/>
          <w:szCs w:val="32"/>
        </w:rPr>
      </w:pPr>
      <w:r>
        <w:rPr>
          <w:rFonts w:hint="eastAsia" w:ascii="宋体" w:hAnsi="宋体" w:cs="宋体"/>
          <w:bCs/>
          <w:sz w:val="32"/>
          <w:szCs w:val="32"/>
        </w:rPr>
        <w:t>根据贵单位2020年5月8日官网公布《中国科学院西北高原生物研究所代发工资银行竞争性选择公告》，结合财政部《中央预算单位资金存放管理实施办法》（财库[2017]176号）的规定，为提高贵单位资金存放的综合效益，</w:t>
      </w:r>
      <w:r>
        <w:rPr>
          <w:rFonts w:hint="eastAsia" w:ascii="宋体" w:hAnsi="宋体" w:cs="宋体"/>
          <w:b/>
          <w:sz w:val="32"/>
          <w:szCs w:val="32"/>
        </w:rPr>
        <w:t>我行承诺：</w:t>
      </w:r>
      <w:r>
        <w:rPr>
          <w:rFonts w:hint="eastAsia" w:ascii="宋体" w:hAnsi="宋体" w:cs="宋体"/>
          <w:bCs/>
          <w:sz w:val="32"/>
          <w:szCs w:val="32"/>
        </w:rPr>
        <w:t>在不违反监管部门各项规定的基础上，为贵单位代发工资项目及其他个人金融业务提供以下服务。</w:t>
      </w:r>
    </w:p>
    <w:p>
      <w:pPr>
        <w:tabs>
          <w:tab w:val="left" w:pos="360"/>
          <w:tab w:val="left" w:pos="540"/>
        </w:tabs>
        <w:snapToGrid w:val="0"/>
        <w:spacing w:line="590" w:lineRule="exact"/>
        <w:rPr>
          <w:rFonts w:hint="eastAsia" w:ascii="仿宋" w:hAnsi="仿宋" w:eastAsia="仿宋" w:cs="仿宋"/>
          <w:b w:val="0"/>
          <w:bCs/>
          <w:kern w:val="2"/>
          <w:sz w:val="32"/>
          <w:szCs w:val="32"/>
          <w:lang w:val="en-US" w:eastAsia="zh-CN" w:bidi="ar-SA"/>
        </w:rPr>
      </w:pPr>
      <w:r>
        <w:rPr>
          <w:rFonts w:hint="eastAsia" w:ascii="黑体" w:hAnsi="黑体" w:eastAsia="黑体" w:cs="黑体"/>
          <w:sz w:val="32"/>
          <w:szCs w:val="32"/>
        </w:rPr>
        <w:t xml:space="preserve">   </w:t>
      </w:r>
      <w:r>
        <w:rPr>
          <w:rFonts w:hint="eastAsia" w:asciiTheme="minorEastAsia" w:hAnsiTheme="minorEastAsia" w:eastAsiaTheme="minorEastAsia" w:cstheme="minorEastAsia"/>
          <w:b w:val="0"/>
          <w:bCs/>
          <w:kern w:val="2"/>
          <w:sz w:val="32"/>
          <w:szCs w:val="32"/>
          <w:lang w:val="en-US" w:eastAsia="zh-CN" w:bidi="ar-SA"/>
        </w:rPr>
        <w:t>（一）、技术成熟，工资代发便捷高效</w:t>
      </w:r>
    </w:p>
    <w:p>
      <w:pPr>
        <w:spacing w:line="590" w:lineRule="exact"/>
        <w:ind w:firstLine="640" w:firstLineChars="200"/>
        <w:jc w:val="left"/>
        <w:rPr>
          <w:rFonts w:hint="eastAsia"/>
          <w:sz w:val="32"/>
          <w:szCs w:val="32"/>
        </w:rPr>
      </w:pPr>
      <w:r>
        <w:rPr>
          <w:rFonts w:hint="eastAsia"/>
          <w:sz w:val="32"/>
          <w:szCs w:val="32"/>
        </w:rPr>
        <w:t>我行作为同业代发工资业务发展最早、系统最完善、口碑最佳的大型国有银行，可为贵单位免费提供两种代发工资服务方式（渠道），此两种方式是经过我行技术部门不断完善，并经过市场长期使用检验，兼具成熟性、稳定性、实用性、快捷性的代发工具，贵单位可根据自身情况选择适合的方式。</w:t>
      </w:r>
    </w:p>
    <w:p>
      <w:pPr>
        <w:spacing w:line="590" w:lineRule="exact"/>
        <w:jc w:val="left"/>
        <w:rPr>
          <w:rFonts w:hint="eastAsia"/>
          <w:sz w:val="32"/>
          <w:szCs w:val="32"/>
        </w:rPr>
      </w:pPr>
      <w:r>
        <w:rPr>
          <w:rFonts w:hint="eastAsia"/>
          <w:sz w:val="32"/>
          <w:szCs w:val="32"/>
        </w:rPr>
        <w:t xml:space="preserve">    （1）网银代发：若贵单位持有我行企业网上银行，并且员工持有我行借记卡，即可实现足不出户，单位财务人员在企业网银操作即可实现工资发放，便捷高效。</w:t>
      </w:r>
    </w:p>
    <w:p>
      <w:pPr>
        <w:spacing w:line="590" w:lineRule="exact"/>
        <w:jc w:val="left"/>
        <w:rPr>
          <w:rFonts w:hint="eastAsia"/>
          <w:sz w:val="32"/>
          <w:szCs w:val="32"/>
        </w:rPr>
      </w:pPr>
      <w:r>
        <w:rPr>
          <w:rFonts w:hint="eastAsia"/>
          <w:sz w:val="32"/>
          <w:szCs w:val="32"/>
        </w:rPr>
        <w:t xml:space="preserve">    （2）手工批量代发：若贵单位未持有我行企业网上银行，或员工未持有我行借记卡，则需要在支行营业室办理手工批量代发，将数据导入模板，加密压缩后交给我行业务管理员进行工资发放，相较于网银代发稍显繁琐，但能够适应多种环境，较同业相同情况下代发工资更为便捷。</w:t>
      </w:r>
    </w:p>
    <w:p>
      <w:pPr>
        <w:tabs>
          <w:tab w:val="left" w:pos="360"/>
          <w:tab w:val="left" w:pos="540"/>
        </w:tabs>
        <w:snapToGrid w:val="0"/>
        <w:spacing w:line="590" w:lineRule="exact"/>
        <w:rPr>
          <w:rFonts w:hint="eastAsia" w:ascii="黑体" w:hAnsi="黑体" w:eastAsia="黑体" w:cs="黑体"/>
          <w:sz w:val="32"/>
          <w:szCs w:val="32"/>
        </w:rPr>
      </w:pPr>
      <w:r>
        <w:rPr>
          <w:rFonts w:hint="eastAsia" w:ascii="黑体" w:hAnsi="黑体" w:eastAsia="黑体" w:cs="黑体"/>
          <w:sz w:val="32"/>
          <w:szCs w:val="32"/>
        </w:rPr>
        <w:t xml:space="preserve">   </w:t>
      </w:r>
      <w:r>
        <w:rPr>
          <w:rFonts w:hint="eastAsia" w:ascii="仿宋" w:hAnsi="仿宋" w:eastAsia="仿宋" w:cs="仿宋"/>
          <w:b w:val="0"/>
          <w:bCs/>
          <w:kern w:val="2"/>
          <w:sz w:val="32"/>
          <w:szCs w:val="32"/>
          <w:lang w:val="en-US" w:eastAsia="zh-CN" w:bidi="ar-SA"/>
        </w:rPr>
        <w:t xml:space="preserve">（二）两种载体，工资卡自由选择  </w:t>
      </w:r>
    </w:p>
    <w:p>
      <w:pPr>
        <w:spacing w:line="590" w:lineRule="exact"/>
        <w:ind w:firstLine="640" w:firstLineChars="200"/>
        <w:jc w:val="left"/>
        <w:rPr>
          <w:rFonts w:hint="eastAsia"/>
          <w:sz w:val="32"/>
          <w:szCs w:val="32"/>
        </w:rPr>
      </w:pPr>
      <w:r>
        <w:rPr>
          <w:rFonts w:hint="eastAsia"/>
          <w:sz w:val="32"/>
          <w:szCs w:val="32"/>
        </w:rPr>
        <w:t>我行现特为贵单位推荐两种代发工资载体，工行薪金卡和第三代社保卡，两种卡均为我行目前代发工资的主要载体，各有优势，贵单位可根据自身情况进行选择。</w:t>
      </w:r>
    </w:p>
    <w:p>
      <w:pPr>
        <w:spacing w:line="590" w:lineRule="exact"/>
        <w:jc w:val="left"/>
        <w:rPr>
          <w:rFonts w:hint="eastAsia"/>
          <w:sz w:val="32"/>
          <w:szCs w:val="32"/>
        </w:rPr>
      </w:pPr>
      <w:r>
        <w:rPr>
          <w:rFonts w:hint="eastAsia"/>
          <w:sz w:val="32"/>
          <w:szCs w:val="32"/>
        </w:rPr>
        <w:t xml:space="preserve">   （1）薪金卡：我行为贵单位推出了以“工银薪管家”为服务主体的专属借记卡——“薪金卡”（青海版），该服务可以满足贵行员工个人结算、理财、融资、消费等金融服务需求，主要有以下优势：</w:t>
      </w:r>
    </w:p>
    <w:p>
      <w:pPr>
        <w:spacing w:line="590" w:lineRule="exact"/>
        <w:ind w:firstLine="640" w:firstLineChars="200"/>
        <w:jc w:val="left"/>
        <w:rPr>
          <w:rFonts w:hint="eastAsia"/>
          <w:sz w:val="32"/>
          <w:szCs w:val="32"/>
        </w:rPr>
      </w:pPr>
      <w:r>
        <w:rPr>
          <w:rFonts w:hint="eastAsia"/>
          <w:sz w:val="32"/>
          <w:szCs w:val="32"/>
        </w:rPr>
        <w:t>专享服务费用减免优惠：免收薪金卡年费和小额账户管理费、新开（补、换）卡手续费，免费体验开通个人互联网金融产品服务，方便自助办理业务。</w:t>
      </w:r>
    </w:p>
    <w:tbl>
      <w:tblPr>
        <w:tblStyle w:val="21"/>
        <w:tblW w:w="0" w:type="auto"/>
        <w:jc w:val="center"/>
        <w:shd w:val="clear" w:color="auto" w:fill="FFFF00"/>
        <w:tblLayout w:type="fixed"/>
        <w:tblCellMar>
          <w:top w:w="0" w:type="dxa"/>
          <w:left w:w="15" w:type="dxa"/>
          <w:bottom w:w="0" w:type="dxa"/>
          <w:right w:w="15" w:type="dxa"/>
        </w:tblCellMar>
      </w:tblPr>
      <w:tblGrid>
        <w:gridCol w:w="2455"/>
        <w:gridCol w:w="2318"/>
        <w:gridCol w:w="3106"/>
      </w:tblGrid>
      <w:tr>
        <w:tblPrEx>
          <w:shd w:val="clear" w:color="auto" w:fill="FFFF00"/>
          <w:tblCellMar>
            <w:top w:w="0" w:type="dxa"/>
            <w:left w:w="15" w:type="dxa"/>
            <w:bottom w:w="0" w:type="dxa"/>
            <w:right w:w="15" w:type="dxa"/>
          </w:tblCellMar>
        </w:tblPrEx>
        <w:trPr>
          <w:trHeight w:val="480" w:hRule="atLeast"/>
          <w:jc w:val="center"/>
        </w:trPr>
        <w:tc>
          <w:tcPr>
            <w:tcW w:w="2455" w:type="dxa"/>
            <w:tcBorders>
              <w:top w:val="single" w:color="000000" w:sz="4" w:space="0"/>
              <w:left w:val="single" w:color="000000" w:sz="4" w:space="0"/>
              <w:bottom w:val="single" w:color="000000" w:sz="4" w:space="0"/>
              <w:right w:val="single" w:color="000000" w:sz="4" w:space="0"/>
            </w:tcBorders>
            <w:shd w:val="clear" w:color="auto" w:fill="FFFF00"/>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内容</w:t>
            </w:r>
          </w:p>
        </w:tc>
        <w:tc>
          <w:tcPr>
            <w:tcW w:w="2318" w:type="dxa"/>
            <w:tcBorders>
              <w:top w:val="single" w:color="000000" w:sz="4" w:space="0"/>
              <w:left w:val="single" w:color="000000" w:sz="4" w:space="0"/>
              <w:bottom w:val="single" w:color="000000" w:sz="4" w:space="0"/>
              <w:right w:val="single" w:color="000000" w:sz="4" w:space="0"/>
            </w:tcBorders>
            <w:shd w:val="clear" w:color="auto" w:fill="FFFF00"/>
            <w:vAlign w:val="center"/>
          </w:tcPr>
          <w:p>
            <w:pPr>
              <w:adjustRightInd w:val="0"/>
              <w:snapToGrid w:val="0"/>
              <w:ind w:firstLine="560" w:firstLineChars="200"/>
              <w:rPr>
                <w:rFonts w:hint="eastAsia" w:ascii="仿宋_GB2312" w:hAnsi="仿宋_GB2312" w:eastAsia="仿宋_GB2312" w:cs="仿宋_GB2312"/>
                <w:szCs w:val="28"/>
              </w:rPr>
            </w:pPr>
            <w:r>
              <w:rPr>
                <w:rFonts w:hint="eastAsia" w:ascii="仿宋_GB2312" w:hAnsi="仿宋_GB2312" w:eastAsia="仿宋_GB2312" w:cs="仿宋_GB2312"/>
                <w:szCs w:val="28"/>
              </w:rPr>
              <w:t>普通灵通卡</w:t>
            </w:r>
          </w:p>
        </w:tc>
        <w:tc>
          <w:tcPr>
            <w:tcW w:w="3106" w:type="dxa"/>
            <w:tcBorders>
              <w:top w:val="single" w:color="000000" w:sz="4" w:space="0"/>
              <w:left w:val="single" w:color="000000" w:sz="4" w:space="0"/>
              <w:bottom w:val="single" w:color="000000" w:sz="4" w:space="0"/>
              <w:right w:val="single" w:color="000000" w:sz="4" w:space="0"/>
            </w:tcBorders>
            <w:shd w:val="clear" w:color="auto" w:fill="FFFF00"/>
            <w:vAlign w:val="center"/>
          </w:tcPr>
          <w:p>
            <w:pPr>
              <w:adjustRightInd w:val="0"/>
              <w:snapToGrid w:val="0"/>
              <w:rPr>
                <w:rFonts w:hint="eastAsia" w:ascii="仿宋_GB2312" w:hAnsi="仿宋_GB2312" w:eastAsia="仿宋_GB2312" w:cs="仿宋_GB2312"/>
                <w:szCs w:val="28"/>
              </w:rPr>
            </w:pPr>
            <w:r>
              <w:rPr>
                <w:rFonts w:hint="eastAsia" w:cs="仿宋_GB2312"/>
                <w:szCs w:val="28"/>
              </w:rPr>
              <w:t xml:space="preserve"> </w:t>
            </w:r>
            <w:r>
              <w:rPr>
                <w:rFonts w:hint="eastAsia" w:ascii="仿宋_GB2312" w:hAnsi="仿宋_GB2312" w:eastAsia="仿宋_GB2312" w:cs="仿宋_GB2312"/>
                <w:szCs w:val="28"/>
              </w:rPr>
              <w:t>薪金卡(代发工资期间)</w:t>
            </w:r>
          </w:p>
        </w:tc>
      </w:tr>
      <w:tr>
        <w:tblPrEx>
          <w:tblCellMar>
            <w:top w:w="0" w:type="dxa"/>
            <w:left w:w="15" w:type="dxa"/>
            <w:bottom w:w="0" w:type="dxa"/>
            <w:right w:w="15" w:type="dxa"/>
          </w:tblCellMar>
        </w:tblPrEx>
        <w:trPr>
          <w:trHeight w:val="420" w:hRule="atLeast"/>
          <w:jc w:val="center"/>
        </w:trPr>
        <w:tc>
          <w:tcPr>
            <w:tcW w:w="24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年费</w:t>
            </w:r>
          </w:p>
        </w:tc>
        <w:tc>
          <w:tcPr>
            <w:tcW w:w="2318"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10元/年</w:t>
            </w:r>
          </w:p>
        </w:tc>
        <w:tc>
          <w:tcPr>
            <w:tcW w:w="3106"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免费</w:t>
            </w:r>
          </w:p>
        </w:tc>
      </w:tr>
      <w:tr>
        <w:tblPrEx>
          <w:tblCellMar>
            <w:top w:w="0" w:type="dxa"/>
            <w:left w:w="15" w:type="dxa"/>
            <w:bottom w:w="0" w:type="dxa"/>
            <w:right w:w="15" w:type="dxa"/>
          </w:tblCellMar>
        </w:tblPrEx>
        <w:trPr>
          <w:trHeight w:val="420" w:hRule="atLeast"/>
          <w:jc w:val="center"/>
        </w:trPr>
        <w:tc>
          <w:tcPr>
            <w:tcW w:w="24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工本费</w:t>
            </w:r>
          </w:p>
        </w:tc>
        <w:tc>
          <w:tcPr>
            <w:tcW w:w="2318"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5元/张</w:t>
            </w:r>
          </w:p>
        </w:tc>
        <w:tc>
          <w:tcPr>
            <w:tcW w:w="3106"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免费</w:t>
            </w:r>
          </w:p>
        </w:tc>
      </w:tr>
      <w:tr>
        <w:tblPrEx>
          <w:tblCellMar>
            <w:top w:w="0" w:type="dxa"/>
            <w:left w:w="15" w:type="dxa"/>
            <w:bottom w:w="0" w:type="dxa"/>
            <w:right w:w="15" w:type="dxa"/>
          </w:tblCellMar>
        </w:tblPrEx>
        <w:trPr>
          <w:trHeight w:val="420" w:hRule="atLeast"/>
          <w:jc w:val="center"/>
        </w:trPr>
        <w:tc>
          <w:tcPr>
            <w:tcW w:w="24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小额账户管理费</w:t>
            </w:r>
          </w:p>
        </w:tc>
        <w:tc>
          <w:tcPr>
            <w:tcW w:w="2318"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3元/季度</w:t>
            </w:r>
          </w:p>
        </w:tc>
        <w:tc>
          <w:tcPr>
            <w:tcW w:w="3106"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免费</w:t>
            </w:r>
          </w:p>
        </w:tc>
      </w:tr>
      <w:tr>
        <w:tblPrEx>
          <w:tblCellMar>
            <w:top w:w="0" w:type="dxa"/>
            <w:left w:w="15" w:type="dxa"/>
            <w:bottom w:w="0" w:type="dxa"/>
            <w:right w:w="15" w:type="dxa"/>
          </w:tblCellMar>
        </w:tblPrEx>
        <w:trPr>
          <w:trHeight w:val="505" w:hRule="atLeast"/>
          <w:jc w:val="center"/>
        </w:trPr>
        <w:tc>
          <w:tcPr>
            <w:tcW w:w="2455"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网上银行、手机银行</w:t>
            </w:r>
          </w:p>
        </w:tc>
        <w:tc>
          <w:tcPr>
            <w:tcW w:w="2318"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免费</w:t>
            </w:r>
          </w:p>
        </w:tc>
        <w:tc>
          <w:tcPr>
            <w:tcW w:w="3106" w:type="dxa"/>
            <w:tcBorders>
              <w:top w:val="single" w:color="000000" w:sz="4" w:space="0"/>
              <w:left w:val="single" w:color="000000" w:sz="4" w:space="0"/>
              <w:bottom w:val="single" w:color="000000" w:sz="4" w:space="0"/>
              <w:right w:val="single" w:color="000000" w:sz="4" w:space="0"/>
            </w:tcBorders>
            <w:shd w:val="clear" w:color="auto" w:fill="FFFFFF"/>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免费</w:t>
            </w:r>
          </w:p>
        </w:tc>
      </w:tr>
    </w:tbl>
    <w:p>
      <w:pPr>
        <w:spacing w:line="590" w:lineRule="exact"/>
        <w:jc w:val="left"/>
        <w:rPr>
          <w:rFonts w:hint="eastAsia"/>
          <w:sz w:val="32"/>
          <w:szCs w:val="32"/>
        </w:rPr>
      </w:pPr>
      <w:r>
        <w:rPr>
          <w:rFonts w:hint="eastAsia"/>
          <w:sz w:val="32"/>
          <w:szCs w:val="32"/>
        </w:rPr>
        <w:t xml:space="preserve">    （2）第三代社保卡：随着我国开始全面更换第三代社保卡，我行在我省第三社保卡业务中具有后发优势，原有建行第二代社保卡可直接批量更换为我行第三代社保卡，并在我行第三代社保卡上实现工资代发和与薪金卡相同的各项金融服务功能，并为贵单位提供专项优惠政策。</w:t>
      </w:r>
    </w:p>
    <w:p>
      <w:pPr>
        <w:spacing w:line="590" w:lineRule="exact"/>
        <w:jc w:val="left"/>
        <w:rPr>
          <w:rFonts w:hint="eastAsia"/>
          <w:sz w:val="32"/>
          <w:szCs w:val="32"/>
        </w:rPr>
      </w:pPr>
      <w:r>
        <w:rPr>
          <w:rFonts w:hint="eastAsia"/>
          <w:sz w:val="32"/>
          <w:szCs w:val="32"/>
        </w:rPr>
        <w:t xml:space="preserve">    （3）专享服务费用减免优惠：免收卡片工本费、免收年费、免收小额账户管理费、免收挂失手续费、免收余额变动提醒费用、专属结算套餐：每月4笔银联跨行取款、异地存取款手续费免费，每年合计48笔。（因客户原因导致的卡损、丢失等，补换卡时需要收取卡片工本费，收费标准为10元/张）</w:t>
      </w:r>
    </w:p>
    <w:tbl>
      <w:tblPr>
        <w:tblStyle w:val="21"/>
        <w:tblW w:w="0" w:type="auto"/>
        <w:jc w:val="center"/>
        <w:tblLayout w:type="fixed"/>
        <w:tblCellMar>
          <w:top w:w="0" w:type="dxa"/>
          <w:left w:w="15" w:type="dxa"/>
          <w:bottom w:w="0" w:type="dxa"/>
          <w:right w:w="15" w:type="dxa"/>
        </w:tblCellMar>
      </w:tblPr>
      <w:tblGrid>
        <w:gridCol w:w="2455"/>
        <w:gridCol w:w="1665"/>
        <w:gridCol w:w="3759"/>
      </w:tblGrid>
      <w:tr>
        <w:tblPrEx>
          <w:tblCellMar>
            <w:top w:w="0" w:type="dxa"/>
            <w:left w:w="15" w:type="dxa"/>
            <w:bottom w:w="0" w:type="dxa"/>
            <w:right w:w="15" w:type="dxa"/>
          </w:tblCellMar>
        </w:tblPrEx>
        <w:trPr>
          <w:trHeight w:val="480" w:hRule="atLeast"/>
          <w:jc w:val="center"/>
        </w:trPr>
        <w:tc>
          <w:tcPr>
            <w:tcW w:w="2455" w:type="dxa"/>
            <w:tcBorders>
              <w:top w:val="single" w:color="000000" w:sz="4" w:space="0"/>
              <w:left w:val="single" w:color="000000" w:sz="4" w:space="0"/>
              <w:bottom w:val="single" w:color="000000" w:sz="4" w:space="0"/>
              <w:right w:val="single" w:color="000000" w:sz="4" w:space="0"/>
            </w:tcBorders>
            <w:shd w:val="clear" w:color="auto" w:fill="FFFF00"/>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内容</w:t>
            </w:r>
          </w:p>
        </w:tc>
        <w:tc>
          <w:tcPr>
            <w:tcW w:w="1665" w:type="dxa"/>
            <w:tcBorders>
              <w:top w:val="single" w:color="000000" w:sz="4" w:space="0"/>
              <w:left w:val="single" w:color="000000" w:sz="4" w:space="0"/>
              <w:bottom w:val="single" w:color="000000" w:sz="4" w:space="0"/>
              <w:right w:val="single" w:color="000000" w:sz="4" w:space="0"/>
            </w:tcBorders>
            <w:shd w:val="clear" w:color="auto" w:fill="FFFF00"/>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普通灵通卡</w:t>
            </w:r>
          </w:p>
        </w:tc>
        <w:tc>
          <w:tcPr>
            <w:tcW w:w="3759" w:type="dxa"/>
            <w:tcBorders>
              <w:top w:val="single" w:color="000000" w:sz="4" w:space="0"/>
              <w:left w:val="single" w:color="000000" w:sz="4" w:space="0"/>
              <w:bottom w:val="single" w:color="000000" w:sz="4" w:space="0"/>
              <w:right w:val="single" w:color="000000" w:sz="4" w:space="0"/>
            </w:tcBorders>
            <w:shd w:val="clear" w:color="auto" w:fill="FFFF00"/>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第三代社保卡(代发工资期间)</w:t>
            </w:r>
          </w:p>
        </w:tc>
      </w:tr>
      <w:tr>
        <w:tblPrEx>
          <w:tblCellMar>
            <w:top w:w="0" w:type="dxa"/>
            <w:left w:w="15" w:type="dxa"/>
            <w:bottom w:w="0" w:type="dxa"/>
            <w:right w:w="15" w:type="dxa"/>
          </w:tblCellMar>
        </w:tblPrEx>
        <w:trPr>
          <w:trHeight w:val="420" w:hRule="atLeast"/>
          <w:jc w:val="center"/>
        </w:trPr>
        <w:tc>
          <w:tcPr>
            <w:tcW w:w="245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年费</w:t>
            </w:r>
          </w:p>
        </w:tc>
        <w:tc>
          <w:tcPr>
            <w:tcW w:w="166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10元/年</w:t>
            </w:r>
          </w:p>
        </w:tc>
        <w:tc>
          <w:tcPr>
            <w:tcW w:w="375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免费</w:t>
            </w:r>
          </w:p>
        </w:tc>
      </w:tr>
      <w:tr>
        <w:tblPrEx>
          <w:tblCellMar>
            <w:top w:w="0" w:type="dxa"/>
            <w:left w:w="15" w:type="dxa"/>
            <w:bottom w:w="0" w:type="dxa"/>
            <w:right w:w="15" w:type="dxa"/>
          </w:tblCellMar>
        </w:tblPrEx>
        <w:trPr>
          <w:trHeight w:val="420" w:hRule="atLeast"/>
          <w:jc w:val="center"/>
        </w:trPr>
        <w:tc>
          <w:tcPr>
            <w:tcW w:w="245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工本费</w:t>
            </w:r>
          </w:p>
        </w:tc>
        <w:tc>
          <w:tcPr>
            <w:tcW w:w="166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5元/张</w:t>
            </w:r>
          </w:p>
        </w:tc>
        <w:tc>
          <w:tcPr>
            <w:tcW w:w="375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免费</w:t>
            </w:r>
          </w:p>
        </w:tc>
      </w:tr>
      <w:tr>
        <w:tblPrEx>
          <w:tblCellMar>
            <w:top w:w="0" w:type="dxa"/>
            <w:left w:w="15" w:type="dxa"/>
            <w:bottom w:w="0" w:type="dxa"/>
            <w:right w:w="15" w:type="dxa"/>
          </w:tblCellMar>
        </w:tblPrEx>
        <w:trPr>
          <w:trHeight w:val="420" w:hRule="atLeast"/>
          <w:jc w:val="center"/>
        </w:trPr>
        <w:tc>
          <w:tcPr>
            <w:tcW w:w="245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小额账户管理费</w:t>
            </w:r>
          </w:p>
        </w:tc>
        <w:tc>
          <w:tcPr>
            <w:tcW w:w="166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3元/季度</w:t>
            </w:r>
          </w:p>
        </w:tc>
        <w:tc>
          <w:tcPr>
            <w:tcW w:w="375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免费</w:t>
            </w:r>
          </w:p>
        </w:tc>
      </w:tr>
      <w:tr>
        <w:tblPrEx>
          <w:tblCellMar>
            <w:top w:w="0" w:type="dxa"/>
            <w:left w:w="15" w:type="dxa"/>
            <w:bottom w:w="0" w:type="dxa"/>
            <w:right w:w="15" w:type="dxa"/>
          </w:tblCellMar>
        </w:tblPrEx>
        <w:trPr>
          <w:trHeight w:val="505" w:hRule="atLeast"/>
          <w:jc w:val="center"/>
        </w:trPr>
        <w:tc>
          <w:tcPr>
            <w:tcW w:w="245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网上银行、手机银行</w:t>
            </w:r>
          </w:p>
        </w:tc>
        <w:tc>
          <w:tcPr>
            <w:tcW w:w="166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免费</w:t>
            </w:r>
          </w:p>
        </w:tc>
        <w:tc>
          <w:tcPr>
            <w:tcW w:w="375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免费</w:t>
            </w:r>
          </w:p>
        </w:tc>
      </w:tr>
      <w:tr>
        <w:tblPrEx>
          <w:tblCellMar>
            <w:top w:w="0" w:type="dxa"/>
            <w:left w:w="15" w:type="dxa"/>
            <w:bottom w:w="0" w:type="dxa"/>
            <w:right w:w="15" w:type="dxa"/>
          </w:tblCellMar>
        </w:tblPrEx>
        <w:trPr>
          <w:trHeight w:val="505" w:hRule="atLeast"/>
          <w:jc w:val="center"/>
        </w:trPr>
        <w:tc>
          <w:tcPr>
            <w:tcW w:w="245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余额变动提醒费</w:t>
            </w:r>
          </w:p>
        </w:tc>
        <w:tc>
          <w:tcPr>
            <w:tcW w:w="166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3元/月</w:t>
            </w:r>
          </w:p>
        </w:tc>
        <w:tc>
          <w:tcPr>
            <w:tcW w:w="375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免费</w:t>
            </w:r>
          </w:p>
        </w:tc>
      </w:tr>
      <w:tr>
        <w:tblPrEx>
          <w:tblCellMar>
            <w:top w:w="0" w:type="dxa"/>
            <w:left w:w="15" w:type="dxa"/>
            <w:bottom w:w="0" w:type="dxa"/>
            <w:right w:w="15" w:type="dxa"/>
          </w:tblCellMar>
        </w:tblPrEx>
        <w:trPr>
          <w:trHeight w:val="505" w:hRule="atLeast"/>
          <w:jc w:val="center"/>
        </w:trPr>
        <w:tc>
          <w:tcPr>
            <w:tcW w:w="245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挂失手续费</w:t>
            </w:r>
          </w:p>
        </w:tc>
        <w:tc>
          <w:tcPr>
            <w:tcW w:w="166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10元/张</w:t>
            </w:r>
          </w:p>
        </w:tc>
        <w:tc>
          <w:tcPr>
            <w:tcW w:w="375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免费</w:t>
            </w:r>
          </w:p>
        </w:tc>
      </w:tr>
      <w:tr>
        <w:tblPrEx>
          <w:tblCellMar>
            <w:top w:w="0" w:type="dxa"/>
            <w:left w:w="15" w:type="dxa"/>
            <w:bottom w:w="0" w:type="dxa"/>
            <w:right w:w="15" w:type="dxa"/>
          </w:tblCellMar>
        </w:tblPrEx>
        <w:trPr>
          <w:trHeight w:val="505" w:hRule="atLeast"/>
          <w:jc w:val="center"/>
        </w:trPr>
        <w:tc>
          <w:tcPr>
            <w:tcW w:w="245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跨行取款手续费</w:t>
            </w:r>
          </w:p>
        </w:tc>
        <w:tc>
          <w:tcPr>
            <w:tcW w:w="1665"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4元/笔</w:t>
            </w:r>
          </w:p>
        </w:tc>
        <w:tc>
          <w:tcPr>
            <w:tcW w:w="3759" w:type="dxa"/>
            <w:tcBorders>
              <w:top w:val="single" w:color="000000" w:sz="4" w:space="0"/>
              <w:left w:val="single" w:color="000000" w:sz="4" w:space="0"/>
              <w:bottom w:val="single" w:color="000000" w:sz="4" w:space="0"/>
              <w:right w:val="single" w:color="000000" w:sz="4" w:space="0"/>
            </w:tcBorders>
            <w:vAlign w:val="center"/>
          </w:tcPr>
          <w:p>
            <w:pPr>
              <w:adjustRightInd w:val="0"/>
              <w:snapToGrid w:val="0"/>
              <w:jc w:val="center"/>
              <w:rPr>
                <w:rFonts w:hint="eastAsia" w:ascii="仿宋_GB2312" w:hAnsi="仿宋_GB2312" w:eastAsia="仿宋_GB2312" w:cs="仿宋_GB2312"/>
                <w:szCs w:val="28"/>
              </w:rPr>
            </w:pPr>
            <w:r>
              <w:rPr>
                <w:rFonts w:hint="eastAsia" w:ascii="仿宋_GB2312" w:hAnsi="仿宋_GB2312" w:eastAsia="仿宋_GB2312" w:cs="仿宋_GB2312"/>
                <w:szCs w:val="28"/>
              </w:rPr>
              <w:t>每月4笔免费</w:t>
            </w:r>
          </w:p>
        </w:tc>
      </w:tr>
    </w:tbl>
    <w:p>
      <w:pPr>
        <w:spacing w:line="590" w:lineRule="exact"/>
        <w:jc w:val="left"/>
        <w:rPr>
          <w:rFonts w:hint="eastAsia" w:ascii="黑体" w:hAnsi="黑体" w:eastAsia="黑体" w:cs="黑体"/>
          <w:sz w:val="32"/>
          <w:szCs w:val="32"/>
        </w:rPr>
      </w:pPr>
      <w:r>
        <w:rPr>
          <w:rFonts w:hint="eastAsia"/>
          <w:b/>
          <w:bCs/>
          <w:sz w:val="32"/>
          <w:szCs w:val="32"/>
        </w:rPr>
        <w:t xml:space="preserve">   </w:t>
      </w:r>
      <w:r>
        <w:rPr>
          <w:rFonts w:hint="eastAsia" w:asciiTheme="minorEastAsia" w:hAnsiTheme="minorEastAsia" w:eastAsiaTheme="minorEastAsia" w:cstheme="minorEastAsia"/>
          <w:b w:val="0"/>
          <w:bCs/>
          <w:kern w:val="2"/>
          <w:sz w:val="32"/>
          <w:szCs w:val="32"/>
          <w:lang w:val="en-US" w:eastAsia="zh-CN" w:bidi="ar-SA"/>
        </w:rPr>
        <w:t xml:space="preserve"> （三）社保卡专属存款产品</w:t>
      </w:r>
    </w:p>
    <w:p>
      <w:pPr>
        <w:spacing w:line="590" w:lineRule="exact"/>
        <w:jc w:val="left"/>
        <w:rPr>
          <w:rFonts w:hint="eastAsia"/>
          <w:sz w:val="32"/>
          <w:szCs w:val="32"/>
        </w:rPr>
      </w:pPr>
      <w:r>
        <w:rPr>
          <w:rFonts w:hint="eastAsia"/>
          <w:sz w:val="32"/>
          <w:szCs w:val="32"/>
        </w:rPr>
        <w:t xml:space="preserve">     我行今年专门为社保卡持有客户推出专项存款产品。社保卡专属存款产品系我行同业中首推，在购买门槛、利率上浮比例等方面具有较强的优势，截止2020年底，我行会持续发行此存款产品：</w:t>
      </w:r>
    </w:p>
    <w:p>
      <w:pPr>
        <w:spacing w:line="590" w:lineRule="exact"/>
        <w:jc w:val="left"/>
        <w:rPr>
          <w:rFonts w:hint="eastAsia"/>
          <w:sz w:val="32"/>
          <w:szCs w:val="32"/>
        </w:rPr>
      </w:pPr>
      <w:r>
        <w:rPr>
          <w:rFonts w:hint="eastAsia"/>
          <w:sz w:val="32"/>
          <w:szCs w:val="32"/>
        </w:rPr>
        <w:t xml:space="preserve">    起存金额：3000元（一年期），5000元（三年期）</w:t>
      </w:r>
    </w:p>
    <w:p>
      <w:pPr>
        <w:spacing w:line="590" w:lineRule="exact"/>
        <w:jc w:val="left"/>
        <w:rPr>
          <w:rFonts w:hint="eastAsia"/>
          <w:sz w:val="32"/>
          <w:szCs w:val="32"/>
        </w:rPr>
      </w:pPr>
      <w:r>
        <w:rPr>
          <w:rFonts w:hint="eastAsia"/>
          <w:sz w:val="32"/>
          <w:szCs w:val="32"/>
        </w:rPr>
        <w:t xml:space="preserve">    利率：2.1%（一年期），3.85%（三年期）支持介质：工行金融社保卡</w:t>
      </w:r>
    </w:p>
    <w:p>
      <w:pPr>
        <w:spacing w:line="590" w:lineRule="exact"/>
        <w:jc w:val="left"/>
        <w:rPr>
          <w:rFonts w:hint="eastAsia"/>
          <w:sz w:val="32"/>
          <w:szCs w:val="32"/>
        </w:rPr>
      </w:pPr>
      <w:r>
        <w:rPr>
          <w:rFonts w:hint="eastAsia"/>
          <w:sz w:val="32"/>
          <w:szCs w:val="32"/>
        </w:rPr>
        <w:t xml:space="preserve">    购买渠道：柜面、网银、手机银行</w:t>
      </w:r>
    </w:p>
    <w:p>
      <w:pPr>
        <w:spacing w:line="590" w:lineRule="exact"/>
        <w:jc w:val="left"/>
        <w:rPr>
          <w:rFonts w:hint="eastAsia"/>
          <w:sz w:val="32"/>
          <w:szCs w:val="32"/>
        </w:rPr>
      </w:pPr>
      <w:r>
        <w:rPr>
          <w:rFonts w:hint="eastAsia"/>
          <w:sz w:val="32"/>
          <w:szCs w:val="32"/>
        </w:rPr>
        <w:t xml:space="preserve">    本产品支持提前支取及部分提前支取，可质押，可用于资信证明开立。</w:t>
      </w:r>
    </w:p>
    <w:p>
      <w:pPr>
        <w:keepNext w:val="0"/>
        <w:keepLines w:val="0"/>
        <w:pageBreakBefore w:val="0"/>
        <w:widowControl w:val="0"/>
        <w:kinsoku/>
        <w:wordWrap/>
        <w:overflowPunct/>
        <w:topLinePunct w:val="0"/>
        <w:autoSpaceDE/>
        <w:autoSpaceDN/>
        <w:bidi w:val="0"/>
        <w:adjustRightInd/>
        <w:snapToGrid/>
        <w:spacing w:line="590" w:lineRule="exact"/>
        <w:ind w:firstLine="640" w:firstLineChars="200"/>
        <w:jc w:val="left"/>
        <w:textAlignment w:val="auto"/>
        <w:rPr>
          <w:rFonts w:hint="eastAsia" w:asciiTheme="minorEastAsia" w:hAnsiTheme="minorEastAsia" w:eastAsiaTheme="minorEastAsia" w:cstheme="minorEastAsia"/>
          <w:b w:val="0"/>
          <w:bCs/>
          <w:kern w:val="2"/>
          <w:sz w:val="32"/>
          <w:szCs w:val="32"/>
          <w:lang w:val="en-US" w:eastAsia="zh-CN" w:bidi="ar-SA"/>
        </w:rPr>
      </w:pPr>
      <w:r>
        <w:rPr>
          <w:rFonts w:hint="eastAsia" w:asciiTheme="minorEastAsia" w:hAnsiTheme="minorEastAsia" w:eastAsiaTheme="minorEastAsia" w:cstheme="minorEastAsia"/>
          <w:b w:val="0"/>
          <w:bCs/>
          <w:kern w:val="2"/>
          <w:sz w:val="32"/>
          <w:szCs w:val="32"/>
          <w:lang w:val="en-US" w:eastAsia="zh-CN" w:bidi="ar-SA"/>
        </w:rPr>
        <w:t>（四）智慧金融服务、便捷又安全</w:t>
      </w:r>
    </w:p>
    <w:p>
      <w:pPr>
        <w:spacing w:line="590" w:lineRule="exact"/>
        <w:jc w:val="left"/>
        <w:rPr>
          <w:rFonts w:hint="eastAsia" w:ascii="仿宋_GB2312" w:hAnsi="仿宋_GB2312" w:eastAsia="仿宋_GB2312" w:cs="仿宋_GB2312"/>
          <w:sz w:val="32"/>
          <w:szCs w:val="32"/>
        </w:rPr>
      </w:pPr>
      <w:r>
        <w:rPr>
          <w:rFonts w:hint="eastAsia"/>
          <w:sz w:val="32"/>
          <w:szCs w:val="32"/>
        </w:rPr>
        <w:t xml:space="preserve">    （1）“工银融e行”为我行个人网银及手机银行整合的全新品牌，分别为客户提供PC端及移动端的服务。客户可通过融e行随时办理查询账户资金及明细、转账汇款、投资理财、信用卡、贵金属、线上充值等服务，享受高速、便捷、智能的一体化服务。其中网点预约、无卡取现、缴费挂号是工银手机银行三大特色功能。网点预约:可以不用排队办理业务，只要您使用工银手机银行中“网点预约”功能，无需等待，随到随办；无卡取现:无论何时，身在何处，即使卡不在身，通过手机银行扫一扫功能，均可在各地自助银行完成无卡取现业务；缴费挂号灵活:运用您手中的银行卡就能很好帮您解决“挂号难”“看病难”的问题，您可以使用我行银行卡通过选择我行的手机银行中“医疗健康”子功能，和我行合作的医院办理自助预约挂号、自助办理诊疗费用的缴纳、诊疗结果的查询和打印。</w:t>
      </w:r>
    </w:p>
    <w:p>
      <w:pPr>
        <w:spacing w:line="590" w:lineRule="exact"/>
        <w:jc w:val="left"/>
        <w:rPr>
          <w:rFonts w:hint="eastAsia"/>
          <w:sz w:val="32"/>
          <w:szCs w:val="32"/>
        </w:rPr>
      </w:pPr>
      <w:r>
        <w:rPr>
          <w:rFonts w:hint="eastAsia"/>
          <w:sz w:val="32"/>
          <w:szCs w:val="32"/>
        </w:rPr>
        <w:t xml:space="preserve">   （2）“工银融e联”为我行自主研发的，向个人客户提供移动金融服务的手机客户端软件，具有“消息”“发现”“服务”及“我”四大功能，支持跨通信运营商、跨手机操作系统的即时通讯平台。客户可通过融e联时时掌握账户资金变动提醒。    </w:t>
      </w:r>
    </w:p>
    <w:p>
      <w:pPr>
        <w:spacing w:line="590" w:lineRule="exact"/>
        <w:jc w:val="left"/>
        <w:rPr>
          <w:rFonts w:hint="eastAsia"/>
          <w:sz w:val="32"/>
          <w:szCs w:val="32"/>
        </w:rPr>
      </w:pPr>
      <w:r>
        <w:rPr>
          <w:rFonts w:hint="eastAsia"/>
          <w:sz w:val="32"/>
          <w:szCs w:val="32"/>
        </w:rPr>
        <w:t xml:space="preserve">   （3）</w:t>
      </w:r>
      <w:r>
        <w:rPr>
          <w:rFonts w:hint="eastAsia" w:ascii="宋体" w:hAnsi="宋体" w:cs="宋体"/>
          <w:sz w:val="32"/>
          <w:szCs w:val="32"/>
        </w:rPr>
        <w:t>“工银融e购”</w:t>
      </w:r>
      <w:r>
        <w:rPr>
          <w:rFonts w:hint="eastAsia"/>
          <w:sz w:val="32"/>
          <w:szCs w:val="32"/>
        </w:rPr>
        <w:t>是工商银行在2014年1月12日正式营业的电子商务平台，汇集了数码家电、汽车、金融产品、服装鞋帽、食品饮料、珠宝礼品、交通旅游等十几大行业数百个知名品牌，近万件商品等待您的选购。</w:t>
      </w:r>
    </w:p>
    <w:p>
      <w:pPr>
        <w:spacing w:line="590" w:lineRule="exact"/>
        <w:jc w:val="left"/>
        <w:rPr>
          <w:rFonts w:hint="eastAsia" w:ascii="仿宋_GB2312" w:hAnsi="仿宋_GB2312" w:eastAsia="仿宋_GB2312" w:cs="仿宋_GB2312"/>
          <w:sz w:val="32"/>
          <w:szCs w:val="32"/>
        </w:rPr>
      </w:pPr>
      <w:r>
        <w:rPr>
          <w:rFonts w:hint="eastAsia"/>
          <w:sz w:val="32"/>
          <w:szCs w:val="32"/>
        </w:rPr>
        <w:t xml:space="preserve">   （4）“集团购”活动是我行专门为优质单位提供的融e购平台线上送券购物活动，活动以预制券形式提供给企业客户，客户可在融e购平台免费使用回馈券并在线购买所需商品。今年为回馈工行持卡人，工商银行特对同一客户名下借记卡和信用卡的积分进行合并，统一为“个人综合积分”。贵集团客户可结合“集团购”电子券和“个人综合积分”兑换精选商品或服务，还可享受随机立减活动。</w:t>
      </w:r>
    </w:p>
    <w:p>
      <w:pPr>
        <w:keepNext w:val="0"/>
        <w:keepLines w:val="0"/>
        <w:pageBreakBefore w:val="0"/>
        <w:widowControl w:val="0"/>
        <w:kinsoku/>
        <w:wordWrap/>
        <w:overflowPunct/>
        <w:topLinePunct w:val="0"/>
        <w:autoSpaceDE/>
        <w:autoSpaceDN/>
        <w:bidi w:val="0"/>
        <w:adjustRightInd/>
        <w:snapToGrid/>
        <w:spacing w:line="590" w:lineRule="exact"/>
        <w:ind w:firstLine="640" w:firstLineChars="200"/>
        <w:jc w:val="left"/>
        <w:textAlignment w:val="auto"/>
        <w:rPr>
          <w:rFonts w:hint="eastAsia" w:asciiTheme="minorEastAsia" w:hAnsiTheme="minorEastAsia" w:eastAsiaTheme="minorEastAsia" w:cstheme="minorEastAsia"/>
          <w:b w:val="0"/>
          <w:bCs/>
          <w:kern w:val="2"/>
          <w:sz w:val="32"/>
          <w:szCs w:val="32"/>
          <w:lang w:val="en-US" w:eastAsia="zh-CN" w:bidi="ar-SA"/>
        </w:rPr>
      </w:pPr>
      <w:r>
        <w:rPr>
          <w:rFonts w:hint="eastAsia" w:asciiTheme="minorEastAsia" w:hAnsiTheme="minorEastAsia" w:eastAsiaTheme="minorEastAsia" w:cstheme="minorEastAsia"/>
          <w:b w:val="0"/>
          <w:bCs/>
          <w:kern w:val="2"/>
          <w:sz w:val="32"/>
          <w:szCs w:val="32"/>
          <w:lang w:val="en-US" w:eastAsia="zh-CN" w:bidi="ar-SA"/>
        </w:rPr>
        <w:t>（五）多样理财，安全稳健</w:t>
      </w:r>
    </w:p>
    <w:p>
      <w:pPr>
        <w:spacing w:line="590" w:lineRule="exact"/>
        <w:jc w:val="left"/>
        <w:rPr>
          <w:rFonts w:hint="eastAsia"/>
          <w:sz w:val="32"/>
          <w:szCs w:val="32"/>
        </w:rPr>
      </w:pPr>
      <w:r>
        <w:rPr>
          <w:rFonts w:hint="eastAsia"/>
          <w:sz w:val="32"/>
          <w:szCs w:val="32"/>
        </w:rPr>
        <w:t xml:space="preserve">    中国工商银行致力于提供最专业、最便捷、最精准的金融服务，精选优秀金融理财师，借助我行最新研发个人客户画像营销系统功能，根据贵单位员工金融资产配置喜好，风险承受能力，消费喜好，优先办理业务渠道，为贵单位员工提供个性化、专业化、差异化的金融服务。</w:t>
      </w:r>
    </w:p>
    <w:p>
      <w:pPr>
        <w:spacing w:line="590" w:lineRule="exact"/>
        <w:ind w:firstLine="640" w:firstLineChars="200"/>
        <w:jc w:val="left"/>
        <w:rPr>
          <w:rFonts w:hint="eastAsia"/>
          <w:sz w:val="32"/>
          <w:szCs w:val="32"/>
        </w:rPr>
      </w:pPr>
      <w:r>
        <w:rPr>
          <w:rFonts w:hint="eastAsia"/>
          <w:sz w:val="32"/>
          <w:szCs w:val="32"/>
        </w:rPr>
        <w:t>中国工商银行可为贵单位员工提供涵盖同业极具优势、种类丰富、期限灵活的金融产品，如保本理财、期次型理财、基金、集合计划等，我行会根据贵单位员工的风险承受能力及投资需求，提供最安全、最适合、最具收益的专属理财产品。中国工商银行的外汇产品极具市场竞争优势，种类最齐全，多达</w:t>
      </w:r>
      <w:r>
        <w:rPr>
          <w:rFonts w:hint="eastAsia" w:ascii="仿宋_GB2312" w:hAnsi="仿宋_GB2312" w:eastAsia="仿宋_GB2312" w:cs="仿宋_GB2312"/>
          <w:sz w:val="32"/>
          <w:szCs w:val="32"/>
        </w:rPr>
        <w:t>32种</w:t>
      </w:r>
      <w:r>
        <w:rPr>
          <w:rFonts w:hint="eastAsia"/>
          <w:sz w:val="32"/>
          <w:szCs w:val="32"/>
        </w:rPr>
        <w:t>。更有账户原油、账户农产品业务与国际接轨，优化报价机制，以满足贵行员工多元化的投资需求。</w:t>
      </w:r>
    </w:p>
    <w:p>
      <w:pPr>
        <w:spacing w:line="590" w:lineRule="exact"/>
        <w:jc w:val="left"/>
        <w:rPr>
          <w:rFonts w:hint="eastAsia"/>
          <w:sz w:val="32"/>
          <w:szCs w:val="32"/>
        </w:rPr>
      </w:pPr>
      <w:r>
        <w:rPr>
          <w:rFonts w:hint="eastAsia"/>
          <w:sz w:val="32"/>
          <w:szCs w:val="32"/>
        </w:rPr>
        <w:t xml:space="preserve">   </w:t>
      </w:r>
      <w:r>
        <w:rPr>
          <w:rFonts w:hint="eastAsia"/>
          <w:b/>
          <w:bCs/>
          <w:sz w:val="32"/>
          <w:szCs w:val="32"/>
        </w:rPr>
        <w:t>（1）理财</w:t>
      </w:r>
    </w:p>
    <w:p>
      <w:pPr>
        <w:spacing w:line="590" w:lineRule="exact"/>
        <w:jc w:val="left"/>
        <w:rPr>
          <w:rFonts w:hint="eastAsia" w:ascii="仿宋_GB2312" w:hAnsi="仿宋_GB2312" w:eastAsia="仿宋_GB2312" w:cs="仿宋_GB2312"/>
          <w:sz w:val="32"/>
          <w:szCs w:val="32"/>
        </w:rPr>
      </w:pPr>
      <w:r>
        <w:rPr>
          <w:rFonts w:hint="eastAsia"/>
          <w:sz w:val="32"/>
          <w:szCs w:val="32"/>
        </w:rPr>
        <w:t xml:space="preserve">    1、添利宝无固定期限理财产品。本理财产品风险评</w:t>
      </w:r>
      <w:r>
        <w:rPr>
          <w:rFonts w:hint="eastAsia" w:cs="仿宋_GB2312"/>
          <w:sz w:val="32"/>
          <w:szCs w:val="32"/>
        </w:rPr>
        <w:t>级PR1，总体风险程度较低，起购金额为1万元，电子银行渠道支持24小时申购，开放时间内实时到账，产品收益随投资表现变动，较部分互联网货币基金高出1%左右（截止4月24日，七日年化收益3.04%）。</w:t>
      </w:r>
    </w:p>
    <w:p>
      <w:pPr>
        <w:spacing w:line="590" w:lineRule="exact"/>
        <w:jc w:val="left"/>
        <w:rPr>
          <w:rFonts w:hint="eastAsia"/>
          <w:sz w:val="32"/>
          <w:szCs w:val="32"/>
        </w:rPr>
      </w:pPr>
      <w:r>
        <w:rPr>
          <w:rFonts w:hint="eastAsia" w:cs="仿宋_GB2312"/>
          <w:sz w:val="32"/>
          <w:szCs w:val="32"/>
        </w:rPr>
        <w:t xml:space="preserve">    2、鑫添益。追求稳健+超额收益，首支每日开放产品</w:t>
      </w:r>
      <w:r>
        <w:rPr>
          <w:rFonts w:hint="eastAsia"/>
          <w:sz w:val="32"/>
          <w:szCs w:val="32"/>
        </w:rPr>
        <w:t>（CZZQ1801）最新净值1.0405（2020年4月24日）, 成立</w:t>
      </w:r>
    </w:p>
    <w:p>
      <w:pPr>
        <w:spacing w:line="590" w:lineRule="exact"/>
        <w:jc w:val="left"/>
        <w:rPr>
          <w:rFonts w:hint="eastAsia"/>
          <w:sz w:val="32"/>
          <w:szCs w:val="32"/>
        </w:rPr>
      </w:pPr>
      <w:r>
        <w:rPr>
          <w:rFonts w:hint="eastAsia"/>
          <w:sz w:val="32"/>
          <w:szCs w:val="32"/>
        </w:rPr>
        <w:t>至今年化收益率在4%以上。每个工作日/每周开放日09:00-17:00交易，非开放时间可以申请预约交易，下个开放日处理，T+1日确认，T+3日资金赎回到账。</w:t>
      </w:r>
    </w:p>
    <w:p>
      <w:pPr>
        <w:spacing w:line="590" w:lineRule="exact"/>
        <w:jc w:val="left"/>
        <w:rPr>
          <w:rFonts w:hint="eastAsia"/>
          <w:sz w:val="32"/>
          <w:szCs w:val="32"/>
        </w:rPr>
      </w:pPr>
      <w:r>
        <w:rPr>
          <w:rFonts w:hint="eastAsia"/>
          <w:sz w:val="32"/>
          <w:szCs w:val="32"/>
        </w:rPr>
        <w:t xml:space="preserve">    3、鑫得利。不同于其它净值产品，鑫得利产品以PR2为主要形态，投资更加稳健，能为更广泛的客户群体提供投资理财服务。产品业绩基准持平或高于同期限普通期次产品，且设置了超额业绩分成机制，客户购买该产品性价比较高。</w:t>
      </w:r>
    </w:p>
    <w:p>
      <w:pPr>
        <w:spacing w:line="590" w:lineRule="exact"/>
        <w:jc w:val="left"/>
        <w:rPr>
          <w:rFonts w:hint="eastAsia"/>
          <w:sz w:val="32"/>
          <w:szCs w:val="32"/>
        </w:rPr>
      </w:pPr>
      <w:r>
        <w:rPr>
          <w:rFonts w:hint="eastAsia"/>
          <w:sz w:val="32"/>
          <w:szCs w:val="32"/>
        </w:rPr>
        <w:t xml:space="preserve">    4、全鑫权益。本系列产品坚持价值投资，在把控风险的同时通过投资优质资本市场项目来增强产品收益。最新产品“鑫尊利”XZL19035产品2019年累计年化收益率在4.5%以上，该产品周第一个证券交易日开放申赎。</w:t>
      </w:r>
    </w:p>
    <w:p>
      <w:pPr>
        <w:spacing w:line="590" w:lineRule="exact"/>
        <w:jc w:val="left"/>
        <w:rPr>
          <w:rFonts w:hint="eastAsia"/>
          <w:sz w:val="32"/>
          <w:szCs w:val="32"/>
        </w:rPr>
      </w:pPr>
      <w:r>
        <w:rPr>
          <w:rFonts w:hint="eastAsia"/>
          <w:sz w:val="32"/>
          <w:szCs w:val="32"/>
        </w:rPr>
        <w:t xml:space="preserve">    5、余额理财——“工银瑞信添溢快线”。1分钱即可购买，使客户资金真正实现365天、7*24小时赎回即时到帐，流动性显著优于市场其他同类型产品，截止4月24日，本产品七日年化收益在2.17%（同类型产品余额宝：1.84%，微信零钱通：1.86%），按日结息。无需考虑交易时间，随用随赎，最大化提升投资理财效率（本产品1万元以上T日赎回T+1日到账，1万元以下实时到帐）。</w:t>
      </w:r>
    </w:p>
    <w:p>
      <w:pPr>
        <w:spacing w:line="590" w:lineRule="exact"/>
        <w:jc w:val="left"/>
        <w:rPr>
          <w:rFonts w:hint="eastAsia"/>
          <w:sz w:val="32"/>
          <w:szCs w:val="32"/>
        </w:rPr>
      </w:pPr>
      <w:r>
        <w:rPr>
          <w:rFonts w:hint="eastAsia"/>
          <w:sz w:val="32"/>
          <w:szCs w:val="32"/>
        </w:rPr>
        <w:t xml:space="preserve">   </w:t>
      </w:r>
      <w:r>
        <w:rPr>
          <w:rFonts w:hint="eastAsia"/>
          <w:b/>
          <w:bCs/>
          <w:sz w:val="32"/>
          <w:szCs w:val="32"/>
        </w:rPr>
        <w:t>（2）代理保险</w:t>
      </w:r>
    </w:p>
    <w:p>
      <w:pPr>
        <w:spacing w:line="590" w:lineRule="exact"/>
        <w:jc w:val="left"/>
        <w:rPr>
          <w:rFonts w:hint="eastAsia"/>
          <w:sz w:val="32"/>
          <w:szCs w:val="32"/>
        </w:rPr>
      </w:pPr>
      <w:r>
        <w:rPr>
          <w:rFonts w:hint="eastAsia"/>
          <w:sz w:val="32"/>
          <w:szCs w:val="32"/>
        </w:rPr>
        <w:t xml:space="preserve">    1、出行无忧计划：返本型意外保障产品，由主险加附加住院津贴组合而成，满期返还105%保费，为客户提供自驾车20倍、公共交通10倍、航空高达50倍基本保额的意外身故保，以及200元/天的住院津贴。产品形态简单、保障杠杆比高。                                              </w:t>
      </w:r>
    </w:p>
    <w:p>
      <w:pPr>
        <w:spacing w:line="590" w:lineRule="exact"/>
        <w:jc w:val="left"/>
        <w:rPr>
          <w:rFonts w:hint="eastAsia"/>
          <w:sz w:val="32"/>
          <w:szCs w:val="32"/>
        </w:rPr>
      </w:pPr>
      <w:r>
        <w:rPr>
          <w:rFonts w:hint="eastAsia"/>
          <w:sz w:val="32"/>
          <w:szCs w:val="32"/>
        </w:rPr>
        <w:t xml:space="preserve">    2、航行天下：返本型意外保障产品，此产品为上述组合主险。满期返还105%保费，为客户提供自驾车20倍、公共交通10倍、航空高达50倍基本保额的意外身故保。产品形态简单、保障杠杆比高。</w:t>
      </w:r>
    </w:p>
    <w:p>
      <w:pPr>
        <w:spacing w:line="590" w:lineRule="exact"/>
        <w:jc w:val="left"/>
        <w:rPr>
          <w:rFonts w:hint="eastAsia"/>
          <w:sz w:val="32"/>
          <w:szCs w:val="32"/>
        </w:rPr>
      </w:pPr>
      <w:r>
        <w:rPr>
          <w:rFonts w:hint="eastAsia"/>
          <w:sz w:val="32"/>
          <w:szCs w:val="32"/>
        </w:rPr>
        <w:t xml:space="preserve">    3、医疗险：太平超e保2018（消费型），一年期趸交产品，续保可至100周岁。投保年龄0至65周岁，消费型医疗险。针对一般医疗和癌症医疗。续保年龄长，保额高，无免赔额，有无社保均可投保。</w:t>
      </w:r>
    </w:p>
    <w:p>
      <w:pPr>
        <w:spacing w:line="590" w:lineRule="exact"/>
        <w:jc w:val="left"/>
        <w:rPr>
          <w:rFonts w:hint="eastAsia"/>
          <w:b/>
          <w:bCs/>
          <w:sz w:val="32"/>
          <w:szCs w:val="32"/>
        </w:rPr>
      </w:pPr>
      <w:r>
        <w:rPr>
          <w:rFonts w:hint="eastAsia"/>
          <w:b/>
          <w:bCs/>
          <w:sz w:val="32"/>
          <w:szCs w:val="32"/>
        </w:rPr>
        <w:t xml:space="preserve">   （3）代理基金</w:t>
      </w:r>
    </w:p>
    <w:p>
      <w:pPr>
        <w:spacing w:line="590" w:lineRule="exact"/>
        <w:jc w:val="left"/>
        <w:rPr>
          <w:rFonts w:hint="eastAsia"/>
          <w:sz w:val="32"/>
          <w:szCs w:val="32"/>
        </w:rPr>
      </w:pPr>
      <w:r>
        <w:rPr>
          <w:rFonts w:hint="eastAsia"/>
          <w:sz w:val="32"/>
          <w:szCs w:val="32"/>
        </w:rPr>
        <w:t xml:space="preserve">    我行代销的基金涵盖了股票型基金、混合型基金、债券型基金和货币市场基金等国内主要基金品种，可满足不同风险偏好客户的需求。</w:t>
      </w:r>
    </w:p>
    <w:p>
      <w:pPr>
        <w:spacing w:line="590" w:lineRule="exact"/>
        <w:jc w:val="left"/>
        <w:rPr>
          <w:rFonts w:hint="eastAsia"/>
          <w:b/>
          <w:bCs/>
          <w:sz w:val="32"/>
          <w:szCs w:val="32"/>
        </w:rPr>
      </w:pPr>
      <w:r>
        <w:rPr>
          <w:rFonts w:hint="eastAsia"/>
          <w:sz w:val="32"/>
          <w:szCs w:val="32"/>
        </w:rPr>
        <w:t xml:space="preserve">  </w:t>
      </w:r>
      <w:r>
        <w:rPr>
          <w:rFonts w:hint="eastAsia" w:ascii="仿宋" w:hAnsi="仿宋" w:eastAsia="仿宋" w:cs="仿宋"/>
          <w:b w:val="0"/>
          <w:bCs/>
          <w:kern w:val="2"/>
          <w:sz w:val="32"/>
          <w:szCs w:val="32"/>
          <w:lang w:val="en-US" w:eastAsia="zh-CN" w:bidi="ar-SA"/>
        </w:rPr>
        <w:t xml:space="preserve"> </w:t>
      </w:r>
      <w:r>
        <w:rPr>
          <w:rFonts w:hint="eastAsia" w:asciiTheme="minorEastAsia" w:hAnsiTheme="minorEastAsia" w:eastAsiaTheme="minorEastAsia" w:cstheme="minorEastAsia"/>
          <w:b w:val="0"/>
          <w:bCs/>
          <w:kern w:val="2"/>
          <w:sz w:val="32"/>
          <w:szCs w:val="32"/>
          <w:lang w:val="en-US" w:eastAsia="zh-CN" w:bidi="ar-SA"/>
        </w:rPr>
        <w:t>（六）工银信用卡，多重福利优惠</w:t>
      </w:r>
    </w:p>
    <w:p>
      <w:pPr>
        <w:spacing w:line="590" w:lineRule="exact"/>
        <w:jc w:val="left"/>
        <w:rPr>
          <w:rFonts w:hint="eastAsia"/>
          <w:sz w:val="32"/>
          <w:szCs w:val="32"/>
        </w:rPr>
      </w:pPr>
      <w:r>
        <w:rPr>
          <w:rFonts w:hint="eastAsia"/>
          <w:sz w:val="32"/>
          <w:szCs w:val="32"/>
        </w:rPr>
        <w:t xml:space="preserve">    在成为我行代发工资客户以后，即可办理我行信用卡，持有我行信用卡可享受多重福利优惠政策，其中又以大美青海卡的卡面最为美观、功能最为全面、优惠福利最多。</w:t>
      </w:r>
    </w:p>
    <w:p>
      <w:pPr>
        <w:spacing w:line="590" w:lineRule="exact"/>
        <w:jc w:val="left"/>
        <w:rPr>
          <w:rFonts w:hint="eastAsia"/>
          <w:sz w:val="32"/>
          <w:szCs w:val="32"/>
        </w:rPr>
      </w:pPr>
      <w:r>
        <w:rPr>
          <w:rFonts w:hint="eastAsia"/>
          <w:sz w:val="32"/>
          <w:szCs w:val="32"/>
        </w:rPr>
        <w:t xml:space="preserve">   （1）大美青海信用卡：大美青海系列卡专为前往青海旅游特别是自驾游客户，以及青海省内客群发行，持卡客户除享有正常的信用卡金融服务外还提供以下增值服务：</w:t>
      </w:r>
    </w:p>
    <w:p>
      <w:pPr>
        <w:spacing w:line="590" w:lineRule="exact"/>
        <w:jc w:val="left"/>
        <w:rPr>
          <w:rFonts w:hint="eastAsia"/>
          <w:sz w:val="32"/>
          <w:szCs w:val="32"/>
        </w:rPr>
      </w:pPr>
      <w:r>
        <w:rPr>
          <w:rFonts w:hint="eastAsia"/>
          <w:sz w:val="32"/>
          <w:szCs w:val="32"/>
        </w:rPr>
        <w:t xml:space="preserve">    1、青海湖二郎剑景区门票半价优惠；</w:t>
      </w:r>
    </w:p>
    <w:p>
      <w:pPr>
        <w:spacing w:line="590" w:lineRule="exact"/>
        <w:jc w:val="left"/>
        <w:rPr>
          <w:rFonts w:hint="eastAsia"/>
          <w:sz w:val="32"/>
          <w:szCs w:val="32"/>
        </w:rPr>
      </w:pPr>
      <w:r>
        <w:rPr>
          <w:rFonts w:hint="eastAsia"/>
          <w:sz w:val="32"/>
          <w:szCs w:val="32"/>
        </w:rPr>
        <w:t xml:space="preserve">    2、卓尔山风景区门票半价优惠；</w:t>
      </w:r>
    </w:p>
    <w:p>
      <w:pPr>
        <w:spacing w:line="590" w:lineRule="exact"/>
        <w:jc w:val="left"/>
        <w:rPr>
          <w:rFonts w:hint="eastAsia"/>
          <w:sz w:val="32"/>
          <w:szCs w:val="32"/>
        </w:rPr>
      </w:pPr>
      <w:r>
        <w:rPr>
          <w:rFonts w:hint="eastAsia"/>
          <w:sz w:val="32"/>
          <w:szCs w:val="32"/>
        </w:rPr>
        <w:t xml:space="preserve">    3、中石油加油满200元立减50元；</w:t>
      </w:r>
    </w:p>
    <w:p>
      <w:pPr>
        <w:spacing w:line="590" w:lineRule="exact"/>
        <w:jc w:val="left"/>
        <w:rPr>
          <w:rFonts w:hint="eastAsia"/>
          <w:sz w:val="32"/>
          <w:szCs w:val="32"/>
        </w:rPr>
      </w:pPr>
      <w:r>
        <w:rPr>
          <w:rFonts w:hint="eastAsia"/>
          <w:sz w:val="32"/>
          <w:szCs w:val="32"/>
        </w:rPr>
        <w:t xml:space="preserve">    4、还款享容时容差服务；</w:t>
      </w:r>
    </w:p>
    <w:p>
      <w:pPr>
        <w:spacing w:line="590" w:lineRule="exact"/>
        <w:jc w:val="left"/>
        <w:rPr>
          <w:rFonts w:hint="eastAsia"/>
          <w:sz w:val="32"/>
          <w:szCs w:val="32"/>
        </w:rPr>
      </w:pPr>
      <w:r>
        <w:rPr>
          <w:rFonts w:hint="eastAsia"/>
          <w:sz w:val="32"/>
          <w:szCs w:val="32"/>
        </w:rPr>
        <w:t xml:space="preserve">    5、免费送账户安全险、安全锁；</w:t>
      </w:r>
    </w:p>
    <w:p>
      <w:pPr>
        <w:spacing w:line="590" w:lineRule="exact"/>
        <w:jc w:val="left"/>
        <w:rPr>
          <w:rFonts w:hint="eastAsia"/>
          <w:sz w:val="32"/>
          <w:szCs w:val="32"/>
        </w:rPr>
      </w:pPr>
      <w:r>
        <w:rPr>
          <w:rFonts w:hint="eastAsia"/>
          <w:sz w:val="32"/>
          <w:szCs w:val="32"/>
        </w:rPr>
        <w:t xml:space="preserve">    6、新客户尊享爱购新客礼；</w:t>
      </w:r>
    </w:p>
    <w:p>
      <w:pPr>
        <w:spacing w:line="590" w:lineRule="exact"/>
        <w:jc w:val="left"/>
        <w:rPr>
          <w:rFonts w:hint="eastAsia"/>
          <w:sz w:val="32"/>
          <w:szCs w:val="32"/>
        </w:rPr>
      </w:pPr>
      <w:r>
        <w:rPr>
          <w:rFonts w:hint="eastAsia"/>
          <w:sz w:val="32"/>
          <w:szCs w:val="32"/>
        </w:rPr>
        <w:t xml:space="preserve">    7、爱购周末、爱购全球。</w:t>
      </w:r>
    </w:p>
    <w:p>
      <w:pPr>
        <w:ind w:firstLine="640" w:firstLineChars="200"/>
        <w:jc w:val="left"/>
        <w:rPr>
          <w:rFonts w:hint="eastAsia" w:ascii="仿宋_GB2312" w:hAnsi="仿宋_GB2312" w:eastAsia="仿宋_GB2312" w:cs="仿宋_GB2312"/>
          <w:sz w:val="32"/>
          <w:szCs w:val="32"/>
        </w:rPr>
      </w:pPr>
    </w:p>
    <w:p>
      <w:pPr>
        <w:ind w:firstLine="640" w:firstLineChars="200"/>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anchor distT="0" distB="0" distL="0" distR="0" simplePos="0" relativeHeight="251676672" behindDoc="0" locked="0" layoutInCell="1" allowOverlap="1">
            <wp:simplePos x="0" y="0"/>
            <wp:positionH relativeFrom="column">
              <wp:posOffset>916305</wp:posOffset>
            </wp:positionH>
            <wp:positionV relativeFrom="paragraph">
              <wp:posOffset>15240</wp:posOffset>
            </wp:positionV>
            <wp:extent cx="3781425" cy="3400425"/>
            <wp:effectExtent l="19050" t="0" r="9525" b="0"/>
            <wp:wrapTopAndBottom/>
            <wp:docPr id="3" name="图片 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图片1"/>
                    <pic:cNvPicPr>
                      <a:picLocks noChangeAspect="1" noChangeArrowheads="1"/>
                    </pic:cNvPicPr>
                  </pic:nvPicPr>
                  <pic:blipFill>
                    <a:blip r:embed="rId24" cstate="print"/>
                    <a:srcRect/>
                    <a:stretch>
                      <a:fillRect/>
                    </a:stretch>
                  </pic:blipFill>
                  <pic:spPr>
                    <a:xfrm>
                      <a:off x="0" y="0"/>
                      <a:ext cx="3781425" cy="3400425"/>
                    </a:xfrm>
                    <a:prstGeom prst="rect">
                      <a:avLst/>
                    </a:prstGeom>
                    <a:noFill/>
                    <a:ln w="9525">
                      <a:noFill/>
                      <a:miter lim="800000"/>
                      <a:headEnd/>
                      <a:tailEnd/>
                    </a:ln>
                  </pic:spPr>
                </pic:pic>
              </a:graphicData>
            </a:graphic>
          </wp:anchor>
        </w:drawing>
      </w:r>
    </w:p>
    <w:p>
      <w:pPr>
        <w:numPr>
          <w:ilvl w:val="0"/>
          <w:numId w:val="2"/>
        </w:numPr>
        <w:spacing w:line="590" w:lineRule="exact"/>
        <w:ind w:firstLine="640" w:firstLineChars="200"/>
        <w:jc w:val="left"/>
        <w:rPr>
          <w:rFonts w:hint="eastAsia"/>
          <w:sz w:val="32"/>
          <w:szCs w:val="32"/>
        </w:rPr>
      </w:pPr>
      <w:r>
        <w:rPr>
          <w:rFonts w:hint="eastAsia"/>
          <w:sz w:val="32"/>
          <w:szCs w:val="32"/>
        </w:rPr>
        <w:t>“爱购青海”活动</w:t>
      </w:r>
    </w:p>
    <w:p>
      <w:pPr>
        <w:spacing w:line="590" w:lineRule="exact"/>
        <w:ind w:left="560" w:leftChars="200"/>
        <w:jc w:val="left"/>
        <w:rPr>
          <w:rFonts w:hint="eastAsia" w:ascii="宋体" w:hAnsi="宋体" w:cs="宋体"/>
          <w:kern w:val="0"/>
          <w:sz w:val="32"/>
          <w:szCs w:val="32"/>
        </w:rPr>
      </w:pPr>
      <w:r>
        <w:rPr>
          <w:rFonts w:hint="eastAsia"/>
          <w:sz w:val="32"/>
          <w:szCs w:val="32"/>
        </w:rPr>
        <w:t xml:space="preserve"> 1、</w:t>
      </w:r>
      <w:r>
        <w:rPr>
          <w:rFonts w:hint="eastAsia" w:ascii="宋体" w:hAnsi="宋体" w:cs="宋体"/>
          <w:kern w:val="0"/>
          <w:sz w:val="32"/>
          <w:szCs w:val="32"/>
        </w:rPr>
        <w:t>爱购青海促销活动。我行将西宁市及周边区县优质购</w:t>
      </w:r>
    </w:p>
    <w:p>
      <w:pPr>
        <w:spacing w:line="590" w:lineRule="exact"/>
        <w:jc w:val="left"/>
        <w:rPr>
          <w:rFonts w:hint="eastAsia"/>
          <w:sz w:val="32"/>
          <w:szCs w:val="32"/>
        </w:rPr>
      </w:pPr>
      <w:r>
        <w:rPr>
          <w:rFonts w:hint="eastAsia"/>
          <w:sz w:val="32"/>
          <w:szCs w:val="32"/>
        </w:rPr>
        <w:t>物商场及商户纳入到爱购青海促销品牌中来，依托我行e支付商户，开展满减促销活动，目前已有新华联购物广场、王府井百货、王府井生活广场、唐道637、新华百货、大十字百货等商场上线满减促销活动，更有使用我行信用卡，在指定商户进行消费时，即可享受多重优惠满减活动。</w:t>
      </w:r>
    </w:p>
    <w:p>
      <w:pPr>
        <w:spacing w:line="590" w:lineRule="exact"/>
        <w:ind w:firstLine="640" w:firstLineChars="200"/>
        <w:jc w:val="left"/>
        <w:rPr>
          <w:rFonts w:hint="eastAsia"/>
          <w:sz w:val="32"/>
          <w:szCs w:val="32"/>
        </w:rPr>
      </w:pPr>
      <w:r>
        <w:rPr>
          <w:rFonts w:hint="eastAsia"/>
          <w:sz w:val="32"/>
          <w:szCs w:val="32"/>
        </w:rPr>
        <w:t xml:space="preserve">2、e支付惠民示范街促销活动。我行将西宁市优质购物街、商圈纳入e支付惠民示范街中，在示范街内不定期开展随机立减等一系列主题促销活动，使用我行银行卡进行支付，即可享受优惠，后期我行仍会加大力度不定期开展爱购主题促销活动。 </w:t>
      </w:r>
    </w:p>
    <w:p>
      <w:pPr>
        <w:spacing w:line="590" w:lineRule="exact"/>
        <w:jc w:val="left"/>
        <w:rPr>
          <w:rFonts w:hint="eastAsia"/>
          <w:b/>
          <w:bCs/>
          <w:sz w:val="32"/>
          <w:szCs w:val="32"/>
        </w:rPr>
      </w:pPr>
      <w:r>
        <w:rPr>
          <w:rFonts w:hint="eastAsia"/>
          <w:b/>
          <w:bCs/>
          <w:sz w:val="32"/>
          <w:szCs w:val="32"/>
        </w:rPr>
        <w:t xml:space="preserve">   </w:t>
      </w:r>
      <w:r>
        <w:rPr>
          <w:rFonts w:hint="eastAsia" w:asciiTheme="minorEastAsia" w:hAnsiTheme="minorEastAsia" w:eastAsiaTheme="minorEastAsia" w:cstheme="minorEastAsia"/>
          <w:b w:val="0"/>
          <w:bCs/>
          <w:kern w:val="2"/>
          <w:sz w:val="32"/>
          <w:szCs w:val="32"/>
          <w:lang w:val="en-US" w:eastAsia="zh-CN" w:bidi="ar-SA"/>
        </w:rPr>
        <w:t>（七）幸福分期，方便、快捷</w:t>
      </w:r>
    </w:p>
    <w:p>
      <w:pPr>
        <w:spacing w:line="590" w:lineRule="exact"/>
        <w:jc w:val="left"/>
        <w:rPr>
          <w:rFonts w:hint="eastAsia"/>
          <w:sz w:val="32"/>
          <w:szCs w:val="32"/>
        </w:rPr>
      </w:pPr>
      <w:r>
        <w:rPr>
          <w:rFonts w:hint="eastAsia"/>
          <w:sz w:val="32"/>
          <w:szCs w:val="32"/>
        </w:rPr>
        <w:t xml:space="preserve">    为给单位员工提供全方位的资金支持，我行现特别推出幸福分期信用卡，专享分期年费率3%，分期期限3个月至5年，分期提前还款免收违约金，为急需资金支持的个人客户很好的解决燃眉之急。</w:t>
      </w:r>
    </w:p>
    <w:p>
      <w:pPr>
        <w:spacing w:line="590" w:lineRule="exact"/>
        <w:jc w:val="left"/>
        <w:rPr>
          <w:rFonts w:hint="eastAsia"/>
          <w:sz w:val="32"/>
          <w:szCs w:val="32"/>
        </w:rPr>
      </w:pPr>
      <w:r>
        <w:rPr>
          <w:rFonts w:hint="eastAsia"/>
          <w:sz w:val="32"/>
          <w:szCs w:val="32"/>
        </w:rPr>
        <w:t xml:space="preserve">   卡片绑定微信、京东支付消费累积工行积分，积分可在工银e生活APP或e支付精选商户消费时抵扣现金。</w:t>
      </w:r>
    </w:p>
    <w:p>
      <w:pPr>
        <w:spacing w:line="590" w:lineRule="exact"/>
        <w:jc w:val="left"/>
        <w:rPr>
          <w:rFonts w:hint="eastAsia"/>
          <w:sz w:val="32"/>
          <w:szCs w:val="32"/>
        </w:rPr>
      </w:pPr>
      <w:r>
        <w:rPr>
          <w:rFonts w:hint="eastAsia"/>
          <w:sz w:val="32"/>
          <w:szCs w:val="32"/>
        </w:rPr>
        <w:t xml:space="preserve">  </w:t>
      </w:r>
      <w:r>
        <w:rPr>
          <w:rFonts w:hint="eastAsia" w:ascii="仿宋" w:hAnsi="仿宋" w:eastAsia="仿宋" w:cs="仿宋"/>
          <w:b w:val="0"/>
          <w:bCs/>
          <w:kern w:val="2"/>
          <w:sz w:val="32"/>
          <w:szCs w:val="32"/>
          <w:lang w:val="en-US" w:eastAsia="zh-CN" w:bidi="ar-SA"/>
        </w:rPr>
        <w:t xml:space="preserve"> </w:t>
      </w:r>
      <w:r>
        <w:rPr>
          <w:rFonts w:hint="eastAsia" w:asciiTheme="minorEastAsia" w:hAnsiTheme="minorEastAsia" w:eastAsiaTheme="minorEastAsia" w:cstheme="minorEastAsia"/>
          <w:b w:val="0"/>
          <w:bCs/>
          <w:kern w:val="2"/>
          <w:sz w:val="32"/>
          <w:szCs w:val="32"/>
          <w:lang w:val="en-US" w:eastAsia="zh-CN" w:bidi="ar-SA"/>
        </w:rPr>
        <w:t>（八）金融科技创新类产品</w:t>
      </w:r>
    </w:p>
    <w:p>
      <w:pPr>
        <w:spacing w:line="590" w:lineRule="exact"/>
        <w:jc w:val="left"/>
        <w:rPr>
          <w:rFonts w:hint="eastAsia"/>
          <w:sz w:val="32"/>
          <w:szCs w:val="32"/>
        </w:rPr>
      </w:pPr>
      <w:r>
        <w:rPr>
          <w:rFonts w:hint="eastAsia"/>
          <w:sz w:val="32"/>
          <w:szCs w:val="32"/>
        </w:rPr>
        <w:t xml:space="preserve">   （1）AI投。AI投即智能投顾，又称“机器人理财”，俗称“爱投”。AI投目前只能在我行手机银行购买，首次一万元起购。AI投目前包括AI智投、AI指数、AI策略三个版块。其中AI智投是基于海量数据，借助专业量化模型，从市场所有的基金产品中定期智能筛选出其中表现优良的，构建成的基金产品组合，并以此来为购买该产品的客户分散投资风险，为客户获得更好的相应收益；AI指数是基于工商银行与中证指数公司合作编制的“中证工银财富股票混合基金指数”和“中证工银财富动态配置基金指数”构建的基金产品组合，对相关指数进行追踪和模拟，是国内首款银行定制的主动管理基金指数，也是一款有效替客户解决面对众多基金产品难以选择的有力工具；AI策略是以知名基金公司的投研能力构建基金产品组合，以工商银行渠道为销售平台向客户提供的基金公司策略组合，该产品由基金公司根据市场趋势进行投资判断，对基金组合推荐新的调仓组合。</w:t>
      </w:r>
    </w:p>
    <w:p>
      <w:pPr>
        <w:spacing w:line="590" w:lineRule="exact"/>
        <w:jc w:val="left"/>
        <w:rPr>
          <w:rFonts w:hint="eastAsia"/>
          <w:sz w:val="32"/>
          <w:szCs w:val="32"/>
        </w:rPr>
      </w:pPr>
      <w:r>
        <w:rPr>
          <w:rFonts w:hint="eastAsia"/>
          <w:sz w:val="32"/>
          <w:szCs w:val="32"/>
        </w:rPr>
        <w:t xml:space="preserve">    （2）代理车险。 中国工商银行以自身的品牌、平台和科技实力，联合人保集团和社会各界服务机构，以“智行天下”平台为支撑打造的车主服务新模式。车主可以通过工行手机银行“智行天下”车主专区轻松购买车险，安心办理理赔，还有更多专属金融权益，养车用车服务一站享不停。</w:t>
      </w:r>
    </w:p>
    <w:p>
      <w:pPr>
        <w:spacing w:line="590" w:lineRule="exact"/>
        <w:jc w:val="left"/>
        <w:rPr>
          <w:rFonts w:hint="eastAsia"/>
          <w:sz w:val="32"/>
          <w:szCs w:val="32"/>
        </w:rPr>
      </w:pPr>
      <w:r>
        <w:rPr>
          <w:rFonts w:hint="eastAsia"/>
          <w:sz w:val="32"/>
          <w:szCs w:val="32"/>
        </w:rPr>
        <w:t xml:space="preserve">    （3）工银智能卫士。 “工银智能卫士”集成了账户安全检测、账户安全锁、交易限额定制、快捷支付安全管理、纯磁条卡消费交易核实、大额交易核实、短信止付、自助渠道余额查询提醒等八项客户端产品，客户可以自助使用，个性化定制各种安全服务功能。例如，客户可根据自身使用需要，为名下的银行卡设置账户安全锁，通过灵活设置“境外锁”“地区锁”“夜间锁”等功能，有效防范伪卡异地盗刷等风险，维护客户账户交易和资金安全。 </w:t>
      </w:r>
    </w:p>
    <w:p>
      <w:pPr>
        <w:spacing w:line="590" w:lineRule="exact"/>
        <w:jc w:val="left"/>
        <w:rPr>
          <w:rFonts w:hint="eastAsia"/>
          <w:sz w:val="32"/>
          <w:szCs w:val="32"/>
        </w:rPr>
      </w:pPr>
      <w:r>
        <w:rPr>
          <w:rFonts w:hint="eastAsia"/>
          <w:sz w:val="32"/>
          <w:szCs w:val="32"/>
        </w:rPr>
        <w:t xml:space="preserve">  </w:t>
      </w:r>
      <w:r>
        <w:rPr>
          <w:rFonts w:hint="eastAsia" w:asciiTheme="minorEastAsia" w:hAnsiTheme="minorEastAsia" w:eastAsiaTheme="minorEastAsia" w:cstheme="minorEastAsia"/>
          <w:b w:val="0"/>
          <w:bCs/>
          <w:kern w:val="2"/>
          <w:sz w:val="32"/>
          <w:szCs w:val="32"/>
          <w:lang w:val="en-US" w:eastAsia="zh-CN" w:bidi="ar-SA"/>
        </w:rPr>
        <w:t xml:space="preserve"> （九）诚信相守，稳健相传</w:t>
      </w:r>
    </w:p>
    <w:p>
      <w:pPr>
        <w:spacing w:line="590" w:lineRule="exact"/>
        <w:jc w:val="left"/>
        <w:rPr>
          <w:rFonts w:hint="eastAsia"/>
          <w:sz w:val="32"/>
          <w:szCs w:val="32"/>
        </w:rPr>
      </w:pPr>
      <w:r>
        <w:rPr>
          <w:rFonts w:hint="eastAsia"/>
          <w:sz w:val="32"/>
          <w:szCs w:val="32"/>
        </w:rPr>
        <w:t xml:space="preserve">    贵单位成员或贵单位成员的亲属如符合我行标准的优质客户，即可签约成为我行私人银行客户，享受私人银行专属服务。</w:t>
      </w:r>
    </w:p>
    <w:p>
      <w:pPr>
        <w:spacing w:line="590" w:lineRule="exact"/>
        <w:jc w:val="left"/>
        <w:rPr>
          <w:rFonts w:hint="eastAsia"/>
          <w:sz w:val="32"/>
          <w:szCs w:val="32"/>
        </w:rPr>
      </w:pPr>
      <w:r>
        <w:rPr>
          <w:rFonts w:hint="eastAsia"/>
          <w:sz w:val="32"/>
          <w:szCs w:val="32"/>
        </w:rPr>
        <w:t xml:space="preserve">    1.金融服务方面，我行将整合全市场优质资源，为签约客户提供专属理财、专属存单及保险、专属产品定制、财富传承等服务，为私人银行客户的财富保驾护航；</w:t>
      </w:r>
    </w:p>
    <w:p>
      <w:pPr>
        <w:spacing w:line="590" w:lineRule="exact"/>
        <w:jc w:val="left"/>
        <w:rPr>
          <w:rFonts w:hint="eastAsia"/>
          <w:sz w:val="32"/>
          <w:szCs w:val="32"/>
        </w:rPr>
      </w:pPr>
      <w:r>
        <w:rPr>
          <w:rFonts w:hint="eastAsia"/>
          <w:sz w:val="32"/>
          <w:szCs w:val="32"/>
        </w:rPr>
        <w:t xml:space="preserve">    2.个人消费助力方面，我行将邀请符合标准的私人银行客户办理工银黑金信用卡，定制卡号，尊享服务，助力消费，同时提供机场高铁出行专区、免费出境WIFI、快捷优惠签证、机场停车礼遇等境内外专享服务；</w:t>
      </w:r>
    </w:p>
    <w:p>
      <w:pPr>
        <w:spacing w:line="590" w:lineRule="exact"/>
        <w:jc w:val="left"/>
        <w:rPr>
          <w:rFonts w:hint="eastAsia"/>
          <w:sz w:val="32"/>
          <w:szCs w:val="32"/>
        </w:rPr>
      </w:pPr>
      <w:r>
        <w:rPr>
          <w:rFonts w:hint="eastAsia"/>
          <w:sz w:val="32"/>
          <w:szCs w:val="32"/>
        </w:rPr>
        <w:t xml:space="preserve">    3.非金融增值服务方面，我们将以您的“全能伙伴”为目标，提供安享健康、私享财智、智享传承、畅享旅程、艺享大成、臻享生活等六大模块的增值服务，为您卓尔不凡的生活再添精彩。</w:t>
      </w:r>
    </w:p>
    <w:p>
      <w:pPr>
        <w:spacing w:line="590" w:lineRule="exact"/>
        <w:jc w:val="left"/>
        <w:rPr>
          <w:rFonts w:hint="eastAsia"/>
          <w:sz w:val="32"/>
          <w:szCs w:val="32"/>
        </w:rPr>
      </w:pPr>
    </w:p>
    <w:p>
      <w:pPr>
        <w:spacing w:line="590" w:lineRule="exact"/>
        <w:jc w:val="left"/>
        <w:rPr>
          <w:rFonts w:hint="eastAsia"/>
          <w:sz w:val="32"/>
          <w:szCs w:val="32"/>
        </w:rPr>
      </w:pPr>
    </w:p>
    <w:p>
      <w:pPr>
        <w:spacing w:line="590" w:lineRule="exact"/>
        <w:jc w:val="left"/>
        <w:rPr>
          <w:rFonts w:hint="eastAsia"/>
          <w:sz w:val="32"/>
          <w:szCs w:val="32"/>
        </w:rPr>
      </w:pPr>
    </w:p>
    <w:p>
      <w:pPr>
        <w:spacing w:line="590" w:lineRule="exact"/>
        <w:jc w:val="left"/>
        <w:rPr>
          <w:rFonts w:hint="eastAsia"/>
          <w:sz w:val="32"/>
          <w:szCs w:val="32"/>
        </w:rPr>
      </w:pPr>
      <w:r>
        <w:rPr>
          <w:rFonts w:hint="eastAsia"/>
          <w:sz w:val="32"/>
          <w:szCs w:val="32"/>
        </w:rPr>
        <w:t>投标人名称（公章）：中国工商银行股份有限公司西宁城西支行</w:t>
      </w:r>
    </w:p>
    <w:p>
      <w:pPr>
        <w:spacing w:line="590" w:lineRule="exact"/>
        <w:jc w:val="left"/>
        <w:rPr>
          <w:rFonts w:hint="eastAsia"/>
          <w:sz w:val="32"/>
          <w:szCs w:val="32"/>
        </w:rPr>
      </w:pPr>
      <w:r>
        <w:rPr>
          <w:rFonts w:hint="eastAsia"/>
          <w:sz w:val="32"/>
          <w:szCs w:val="32"/>
        </w:rPr>
        <w:t xml:space="preserve">法定代表人（签字）：                 </w:t>
      </w:r>
    </w:p>
    <w:p>
      <w:pPr>
        <w:spacing w:line="590" w:lineRule="exact"/>
        <w:jc w:val="left"/>
        <w:rPr>
          <w:rFonts w:hint="eastAsia" w:ascii="宋体" w:hAnsi="宋体" w:cs="宋体"/>
          <w:kern w:val="0"/>
          <w:sz w:val="32"/>
          <w:szCs w:val="32"/>
        </w:rPr>
      </w:pPr>
      <w:r>
        <w:rPr>
          <w:rFonts w:hint="eastAsia"/>
          <w:sz w:val="32"/>
          <w:szCs w:val="32"/>
        </w:rPr>
        <w:t xml:space="preserve">                                     2020年</w:t>
      </w:r>
      <w:r>
        <w:rPr>
          <w:rFonts w:hint="eastAsia" w:ascii="宋体" w:hAnsi="宋体" w:cs="宋体"/>
          <w:kern w:val="0"/>
          <w:sz w:val="32"/>
          <w:szCs w:val="32"/>
        </w:rPr>
        <w:t>5月13日</w:t>
      </w:r>
    </w:p>
    <w:p>
      <w:pPr>
        <w:widowControl/>
        <w:spacing w:line="240" w:lineRule="auto"/>
        <w:jc w:val="center"/>
        <w:rPr>
          <w:rFonts w:hint="eastAsia" w:ascii="方正大标宋_GBK" w:hAnsi="方正大标宋_GBK" w:eastAsia="方正大标宋_GBK" w:cs="方正大标宋_GBK"/>
          <w:sz w:val="44"/>
          <w:szCs w:val="44"/>
        </w:rPr>
      </w:pPr>
    </w:p>
    <w:p>
      <w:pPr>
        <w:keepNext w:val="0"/>
        <w:keepLines w:val="0"/>
        <w:pageBreakBefore w:val="0"/>
        <w:widowControl/>
        <w:kinsoku/>
        <w:wordWrap/>
        <w:overflowPunct/>
        <w:topLinePunct w:val="0"/>
        <w:autoSpaceDE/>
        <w:autoSpaceDN/>
        <w:bidi w:val="0"/>
        <w:adjustRightInd/>
        <w:snapToGrid/>
        <w:spacing w:line="600" w:lineRule="exact"/>
        <w:jc w:val="center"/>
        <w:textAlignment w:val="auto"/>
        <w:rPr>
          <w:rFonts w:hint="eastAsia" w:ascii="方正大标宋_GBK" w:hAnsi="方正大标宋_GBK" w:eastAsia="方正大标宋_GBK" w:cs="方正大标宋_GBK"/>
          <w:sz w:val="44"/>
          <w:szCs w:val="44"/>
        </w:rPr>
      </w:pPr>
      <w:r>
        <w:rPr>
          <w:rFonts w:hint="eastAsia" w:ascii="方正大标宋_GBK" w:hAnsi="方正大标宋_GBK" w:eastAsia="方正大标宋_GBK" w:cs="方正大标宋_GBK"/>
          <w:sz w:val="44"/>
          <w:szCs w:val="44"/>
          <w:lang w:eastAsia="zh-CN"/>
        </w:rPr>
        <w:t>十、</w:t>
      </w:r>
      <w:r>
        <w:rPr>
          <w:rFonts w:hint="eastAsia" w:ascii="方正大标宋_GBK" w:hAnsi="方正大标宋_GBK" w:eastAsia="方正大标宋_GBK" w:cs="方正大标宋_GBK"/>
          <w:sz w:val="44"/>
          <w:szCs w:val="44"/>
        </w:rPr>
        <w:t>关于中央预算单位中国科学院西北高原</w:t>
      </w:r>
    </w:p>
    <w:p>
      <w:pPr>
        <w:keepNext w:val="0"/>
        <w:keepLines w:val="0"/>
        <w:pageBreakBefore w:val="0"/>
        <w:widowControl/>
        <w:kinsoku/>
        <w:wordWrap/>
        <w:overflowPunct/>
        <w:topLinePunct w:val="0"/>
        <w:autoSpaceDE/>
        <w:autoSpaceDN/>
        <w:bidi w:val="0"/>
        <w:adjustRightInd/>
        <w:snapToGrid/>
        <w:spacing w:line="600" w:lineRule="exact"/>
        <w:jc w:val="center"/>
        <w:textAlignment w:val="auto"/>
        <w:rPr>
          <w:rFonts w:hint="eastAsia" w:ascii="方正大标宋_GBK" w:hAnsi="方正大标宋_GBK" w:eastAsia="方正大标宋_GBK" w:cs="方正大标宋_GBK"/>
          <w:sz w:val="44"/>
          <w:szCs w:val="44"/>
        </w:rPr>
      </w:pPr>
      <w:r>
        <w:rPr>
          <w:rFonts w:hint="eastAsia" w:ascii="方正大标宋_GBK" w:hAnsi="方正大标宋_GBK" w:eastAsia="方正大标宋_GBK" w:cs="方正大标宋_GBK"/>
          <w:sz w:val="44"/>
          <w:szCs w:val="44"/>
        </w:rPr>
        <w:t>生物研究所代发工资项目的廉政承诺书</w:t>
      </w:r>
    </w:p>
    <w:p>
      <w:pPr>
        <w:keepNext w:val="0"/>
        <w:keepLines w:val="0"/>
        <w:pageBreakBefore w:val="0"/>
        <w:widowControl/>
        <w:kinsoku/>
        <w:wordWrap/>
        <w:overflowPunct/>
        <w:topLinePunct w:val="0"/>
        <w:autoSpaceDE/>
        <w:autoSpaceDN/>
        <w:bidi w:val="0"/>
        <w:adjustRightInd/>
        <w:snapToGrid/>
        <w:spacing w:before="387" w:beforeLines="100" w:line="590" w:lineRule="exact"/>
        <w:jc w:val="left"/>
        <w:textAlignment w:val="auto"/>
        <w:rPr>
          <w:rFonts w:hint="eastAsia" w:ascii="宋体" w:hAnsi="宋体" w:cs="宋体"/>
          <w:kern w:val="0"/>
          <w:sz w:val="32"/>
          <w:szCs w:val="32"/>
        </w:rPr>
      </w:pPr>
      <w:r>
        <w:rPr>
          <w:rFonts w:hint="eastAsia" w:ascii="宋体" w:hAnsi="宋体" w:cs="宋体"/>
          <w:kern w:val="0"/>
          <w:sz w:val="32"/>
          <w:szCs w:val="32"/>
        </w:rPr>
        <w:t>中国科学院西北高原生物研究所：</w:t>
      </w:r>
    </w:p>
    <w:p>
      <w:pPr>
        <w:widowControl/>
        <w:spacing w:line="590" w:lineRule="exact"/>
        <w:ind w:firstLine="640" w:firstLineChars="200"/>
        <w:jc w:val="left"/>
        <w:rPr>
          <w:rFonts w:hint="eastAsia" w:ascii="宋体" w:hAnsi="宋体" w:cs="宋体"/>
          <w:kern w:val="0"/>
          <w:sz w:val="32"/>
          <w:szCs w:val="32"/>
        </w:rPr>
      </w:pPr>
      <w:r>
        <w:rPr>
          <w:rFonts w:hint="eastAsia" w:ascii="宋体" w:hAnsi="宋体" w:cs="宋体"/>
          <w:kern w:val="0"/>
          <w:sz w:val="32"/>
          <w:szCs w:val="32"/>
        </w:rPr>
        <w:t>为严格遵守《中央预算单位资金存放管理实施办法》（财库[2017]176号）、《关于进一步加强财政部门和预算单位资金存放管理的指导意见》（财库[2017]76号）、《青海省财政厅关于加强各级财政部门和预算单位资金存放管理的实施意见》（青财库字[2017]2103号）的要求，防范中央预算单位中国科学院西北高原生物研究所代发工资项目在中国工商银行股份有限公司西宁城西支行（下称“本行”）的业务开展过程中发生不当利益输送行为。</w:t>
      </w:r>
    </w:p>
    <w:p>
      <w:pPr>
        <w:widowControl/>
        <w:spacing w:line="590" w:lineRule="exact"/>
        <w:ind w:firstLine="643" w:firstLineChars="200"/>
        <w:jc w:val="left"/>
        <w:rPr>
          <w:rFonts w:hint="eastAsia" w:ascii="宋体" w:hAnsi="宋体" w:cs="宋体"/>
          <w:kern w:val="0"/>
          <w:sz w:val="32"/>
          <w:szCs w:val="32"/>
        </w:rPr>
      </w:pPr>
      <w:r>
        <w:rPr>
          <w:rFonts w:hint="eastAsia" w:ascii="宋体" w:hAnsi="宋体" w:cs="宋体"/>
          <w:b/>
          <w:bCs/>
          <w:kern w:val="0"/>
          <w:sz w:val="32"/>
          <w:szCs w:val="32"/>
        </w:rPr>
        <w:t>现郑重承诺：</w:t>
      </w:r>
    </w:p>
    <w:p>
      <w:pPr>
        <w:widowControl/>
        <w:spacing w:line="590" w:lineRule="exact"/>
        <w:jc w:val="left"/>
        <w:rPr>
          <w:rFonts w:hint="eastAsia" w:ascii="宋体" w:hAnsi="宋体" w:cs="宋体"/>
          <w:kern w:val="0"/>
          <w:sz w:val="32"/>
          <w:szCs w:val="32"/>
        </w:rPr>
      </w:pPr>
      <w:r>
        <w:rPr>
          <w:rFonts w:hint="eastAsia" w:ascii="宋体" w:hAnsi="宋体" w:cs="宋体"/>
          <w:kern w:val="0"/>
          <w:sz w:val="32"/>
          <w:szCs w:val="32"/>
        </w:rPr>
        <w:t xml:space="preserve">    一、加强业务管理。本行承诺严格遵守监管部门各项管理制度。严格按照相关管理流程吸收存款，适时进行内部审计，对违规问题严格问责和整改，涉嫌违纪违法的，移交有关部门处理。</w:t>
      </w:r>
    </w:p>
    <w:p>
      <w:pPr>
        <w:widowControl/>
        <w:spacing w:line="590" w:lineRule="exact"/>
        <w:ind w:firstLine="640" w:firstLineChars="200"/>
        <w:jc w:val="left"/>
        <w:rPr>
          <w:rFonts w:hint="eastAsia" w:ascii="宋体" w:hAnsi="宋体" w:cs="宋体"/>
          <w:kern w:val="0"/>
          <w:sz w:val="32"/>
          <w:szCs w:val="32"/>
        </w:rPr>
      </w:pPr>
      <w:r>
        <w:rPr>
          <w:rFonts w:hint="eastAsia" w:ascii="宋体" w:hAnsi="宋体" w:cs="宋体"/>
          <w:kern w:val="0"/>
          <w:sz w:val="32"/>
          <w:szCs w:val="32"/>
        </w:rPr>
        <w:t>二、严禁利益输送。本行承诺督促并监督员工：</w:t>
      </w:r>
    </w:p>
    <w:p>
      <w:pPr>
        <w:widowControl/>
        <w:spacing w:line="590" w:lineRule="exact"/>
        <w:ind w:firstLine="640" w:firstLineChars="200"/>
        <w:jc w:val="left"/>
        <w:rPr>
          <w:rFonts w:hint="eastAsia" w:ascii="宋体" w:hAnsi="宋体" w:cs="宋体"/>
          <w:kern w:val="0"/>
          <w:sz w:val="32"/>
          <w:szCs w:val="32"/>
        </w:rPr>
      </w:pPr>
      <w:r>
        <w:rPr>
          <w:rFonts w:hint="eastAsia" w:ascii="宋体" w:hAnsi="宋体" w:cs="宋体"/>
          <w:kern w:val="0"/>
          <w:sz w:val="32"/>
          <w:szCs w:val="32"/>
        </w:rPr>
        <w:t xml:space="preserve">1、遵守行业行为规范、格守职业道德操守、廉洁从业。               </w:t>
      </w:r>
    </w:p>
    <w:p>
      <w:pPr>
        <w:widowControl/>
        <w:spacing w:line="590" w:lineRule="exact"/>
        <w:ind w:firstLine="640" w:firstLineChars="200"/>
        <w:jc w:val="left"/>
        <w:rPr>
          <w:rFonts w:hint="eastAsia" w:ascii="宋体" w:hAnsi="宋体" w:cs="宋体"/>
          <w:kern w:val="0"/>
          <w:sz w:val="32"/>
          <w:szCs w:val="32"/>
        </w:rPr>
      </w:pPr>
      <w:r>
        <w:rPr>
          <w:rFonts w:hint="eastAsia" w:ascii="宋体" w:hAnsi="宋体" w:cs="宋体"/>
          <w:kern w:val="0"/>
          <w:sz w:val="32"/>
          <w:szCs w:val="32"/>
        </w:rPr>
        <w:t>2、不得向打发工资主体相关负责人员赠送现金、有价证券与实物等。</w:t>
      </w:r>
    </w:p>
    <w:p>
      <w:pPr>
        <w:widowControl/>
        <w:spacing w:line="590" w:lineRule="exact"/>
        <w:jc w:val="left"/>
        <w:rPr>
          <w:rFonts w:hint="eastAsia" w:ascii="宋体" w:hAnsi="宋体" w:cs="宋体"/>
          <w:kern w:val="0"/>
          <w:sz w:val="32"/>
          <w:szCs w:val="32"/>
        </w:rPr>
      </w:pPr>
      <w:r>
        <w:rPr>
          <w:rFonts w:hint="eastAsia" w:ascii="宋体" w:hAnsi="宋体" w:cs="宋体"/>
          <w:kern w:val="0"/>
          <w:sz w:val="32"/>
          <w:szCs w:val="32"/>
        </w:rPr>
        <w:t xml:space="preserve">    3、不得通过安排代发工资主体相关负责人员的配偶、子女及其他直接利益相人员就业、升职或向上级人员发放奖金等方式进行利益输送。若代发工资主体相关负责人员的配偶、子女及其配偶和其他直接利益相关人员为本行员工，则该员工应避循回避原则。</w:t>
      </w:r>
    </w:p>
    <w:p>
      <w:pPr>
        <w:widowControl/>
        <w:spacing w:line="590" w:lineRule="exact"/>
        <w:ind w:firstLine="640" w:firstLineChars="200"/>
        <w:jc w:val="left"/>
        <w:rPr>
          <w:rFonts w:hint="eastAsia" w:ascii="宋体" w:hAnsi="宋体" w:cs="宋体"/>
          <w:kern w:val="0"/>
          <w:sz w:val="32"/>
          <w:szCs w:val="32"/>
        </w:rPr>
      </w:pPr>
      <w:r>
        <w:rPr>
          <w:rFonts w:hint="eastAsia" w:ascii="宋体" w:hAnsi="宋体" w:cs="宋体"/>
          <w:kern w:val="0"/>
          <w:sz w:val="32"/>
          <w:szCs w:val="32"/>
        </w:rPr>
        <w:t>三、提升服务水平。本行承诺充分尊重代发工资主体的意愿和服务需求，按照公开、公平、公正原则参与代发工资主体对代发银行的选择和决定，合法合规地开展业务合作。本行将持续优化业务流程，丰富产品种类不断提升金融综合服务水平。</w:t>
      </w:r>
    </w:p>
    <w:p>
      <w:pPr>
        <w:widowControl/>
        <w:spacing w:line="590" w:lineRule="exact"/>
        <w:ind w:firstLine="640" w:firstLineChars="200"/>
        <w:jc w:val="left"/>
        <w:rPr>
          <w:rFonts w:hint="eastAsia" w:ascii="宋体" w:hAnsi="宋体" w:cs="宋体"/>
          <w:kern w:val="0"/>
          <w:sz w:val="32"/>
          <w:szCs w:val="32"/>
        </w:rPr>
      </w:pPr>
      <w:r>
        <w:rPr>
          <w:rFonts w:hint="eastAsia" w:ascii="宋体" w:hAnsi="宋体" w:cs="宋体"/>
          <w:kern w:val="0"/>
          <w:sz w:val="32"/>
          <w:szCs w:val="32"/>
        </w:rPr>
        <w:t>四、强化行业自律。本行承诺强化自律意识、培育合规文化、倡导公平竟争、抵制不当交易，共同遵守各类行业规则。</w:t>
      </w:r>
    </w:p>
    <w:p>
      <w:pPr>
        <w:widowControl/>
        <w:spacing w:line="590" w:lineRule="exact"/>
        <w:ind w:firstLine="640" w:firstLineChars="200"/>
        <w:jc w:val="left"/>
        <w:rPr>
          <w:rFonts w:hint="eastAsia" w:ascii="宋体" w:hAnsi="宋体" w:cs="宋体"/>
          <w:kern w:val="0"/>
          <w:sz w:val="32"/>
          <w:szCs w:val="32"/>
        </w:rPr>
      </w:pPr>
      <w:r>
        <w:rPr>
          <w:rFonts w:hint="eastAsia" w:ascii="宋体" w:hAnsi="宋体" w:cs="宋体"/>
          <w:kern w:val="0"/>
          <w:sz w:val="32"/>
          <w:szCs w:val="32"/>
        </w:rPr>
        <w:t>以上承诺，敬请监督！</w:t>
      </w:r>
    </w:p>
    <w:p>
      <w:pPr>
        <w:widowControl/>
        <w:spacing w:line="590" w:lineRule="exact"/>
        <w:ind w:firstLine="640" w:firstLineChars="200"/>
        <w:jc w:val="left"/>
        <w:rPr>
          <w:rFonts w:hint="eastAsia" w:ascii="宋体" w:hAnsi="宋体" w:cs="宋体"/>
          <w:kern w:val="0"/>
          <w:sz w:val="32"/>
          <w:szCs w:val="32"/>
        </w:rPr>
      </w:pPr>
    </w:p>
    <w:p>
      <w:pPr>
        <w:widowControl/>
        <w:spacing w:line="590" w:lineRule="exact"/>
        <w:ind w:firstLine="640" w:firstLineChars="200"/>
        <w:jc w:val="center"/>
        <w:rPr>
          <w:rFonts w:hint="eastAsia" w:ascii="宋体" w:hAnsi="宋体" w:cs="宋体"/>
          <w:kern w:val="0"/>
          <w:sz w:val="32"/>
          <w:szCs w:val="32"/>
        </w:rPr>
      </w:pPr>
      <w:r>
        <w:rPr>
          <w:rFonts w:hint="eastAsia" w:ascii="宋体" w:hAnsi="宋体" w:cs="宋体"/>
          <w:kern w:val="0"/>
          <w:sz w:val="32"/>
          <w:szCs w:val="32"/>
        </w:rPr>
        <w:t xml:space="preserve">           </w:t>
      </w:r>
    </w:p>
    <w:p>
      <w:pPr>
        <w:widowControl/>
        <w:spacing w:line="590" w:lineRule="exact"/>
        <w:ind w:firstLine="640" w:firstLineChars="200"/>
        <w:jc w:val="center"/>
        <w:rPr>
          <w:rFonts w:hint="eastAsia" w:ascii="宋体" w:hAnsi="宋体" w:cs="宋体"/>
          <w:kern w:val="0"/>
          <w:sz w:val="32"/>
          <w:szCs w:val="32"/>
        </w:rPr>
      </w:pPr>
    </w:p>
    <w:p>
      <w:pPr>
        <w:widowControl/>
        <w:spacing w:line="590" w:lineRule="exact"/>
        <w:ind w:firstLine="640" w:firstLineChars="200"/>
        <w:jc w:val="center"/>
        <w:rPr>
          <w:rFonts w:hint="eastAsia" w:ascii="宋体" w:hAnsi="宋体" w:cs="宋体"/>
          <w:kern w:val="0"/>
          <w:sz w:val="32"/>
          <w:szCs w:val="32"/>
        </w:rPr>
      </w:pPr>
      <w:r>
        <w:rPr>
          <w:rFonts w:hint="eastAsia" w:ascii="宋体" w:hAnsi="宋体" w:cs="宋体"/>
          <w:kern w:val="0"/>
          <w:sz w:val="32"/>
          <w:szCs w:val="32"/>
        </w:rPr>
        <w:t xml:space="preserve">       中国工商银行股份有限公司西宁城西支行</w:t>
      </w:r>
    </w:p>
    <w:p>
      <w:pPr>
        <w:widowControl/>
        <w:spacing w:line="590" w:lineRule="exact"/>
        <w:ind w:firstLine="640" w:firstLineChars="200"/>
        <w:jc w:val="center"/>
        <w:rPr>
          <w:rFonts w:hint="eastAsia" w:ascii="宋体" w:hAnsi="宋体" w:cs="宋体"/>
          <w:kern w:val="0"/>
          <w:sz w:val="32"/>
          <w:szCs w:val="32"/>
        </w:rPr>
      </w:pPr>
      <w:r>
        <w:rPr>
          <w:rFonts w:hint="eastAsia" w:ascii="宋体" w:hAnsi="宋体" w:cs="宋体"/>
          <w:kern w:val="0"/>
          <w:sz w:val="32"/>
          <w:szCs w:val="32"/>
        </w:rPr>
        <w:t xml:space="preserve">           2020年5月13日</w:t>
      </w:r>
    </w:p>
    <w:p>
      <w:pPr>
        <w:widowControl/>
        <w:spacing w:line="590" w:lineRule="exact"/>
        <w:rPr>
          <w:rFonts w:hint="eastAsia" w:ascii="仿宋_GB2312" w:hAnsi="仿宋_GB2312" w:eastAsia="仿宋_GB2312" w:cs="仿宋_GB2312"/>
          <w:b/>
          <w:bCs/>
          <w:sz w:val="44"/>
          <w:szCs w:val="44"/>
        </w:rPr>
      </w:pPr>
    </w:p>
    <w:p>
      <w:pPr>
        <w:widowControl/>
        <w:spacing w:line="590" w:lineRule="exact"/>
        <w:rPr>
          <w:rFonts w:hint="eastAsia" w:ascii="仿宋_GB2312" w:hAnsi="仿宋_GB2312" w:eastAsia="仿宋_GB2312" w:cs="仿宋_GB2312"/>
          <w:b/>
          <w:bCs/>
          <w:sz w:val="44"/>
          <w:szCs w:val="44"/>
        </w:rPr>
      </w:pPr>
    </w:p>
    <w:p>
      <w:pPr>
        <w:widowControl/>
        <w:spacing w:line="360" w:lineRule="auto"/>
        <w:rPr>
          <w:rFonts w:hint="eastAsia" w:ascii="仿宋_GB2312" w:hAnsi="仿宋_GB2312" w:eastAsia="仿宋_GB2312" w:cs="仿宋_GB2312"/>
          <w:b/>
          <w:bCs/>
          <w:sz w:val="44"/>
          <w:szCs w:val="44"/>
        </w:rPr>
      </w:pP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方正大标宋_GBK" w:hAnsi="方正大标宋_GBK" w:eastAsia="方正大标宋_GBK" w:cs="方正大标宋_GBK"/>
          <w:sz w:val="44"/>
          <w:szCs w:val="44"/>
          <w:lang w:eastAsia="zh-CN"/>
        </w:rPr>
      </w:pPr>
      <w:r>
        <w:rPr>
          <w:rFonts w:hint="eastAsia" w:ascii="方正大标宋_GBK" w:hAnsi="方正大标宋_GBK" w:eastAsia="方正大标宋_GBK" w:cs="方正大标宋_GBK"/>
          <w:sz w:val="44"/>
          <w:szCs w:val="44"/>
          <w:lang w:eastAsia="zh-CN"/>
        </w:rPr>
        <w:t>十一、</w:t>
      </w:r>
      <w:r>
        <w:rPr>
          <w:rFonts w:hint="eastAsia" w:ascii="方正大标宋_GBK" w:hAnsi="方正大标宋_GBK" w:eastAsia="方正大标宋_GBK" w:cs="方正大标宋_GBK"/>
          <w:sz w:val="44"/>
          <w:szCs w:val="44"/>
        </w:rPr>
        <w:t>代发工资协议书（模板）</w:t>
      </w:r>
      <w:r>
        <w:rPr>
          <w:rFonts w:hint="eastAsia" w:ascii="方正大标宋_GBK" w:hAnsi="方正大标宋_GBK" w:eastAsia="方正大标宋_GBK" w:cs="方正大标宋_GBK"/>
          <w:sz w:val="44"/>
          <w:szCs w:val="44"/>
          <w:lang w:eastAsia="zh-CN"/>
        </w:rPr>
        <w:drawing>
          <wp:inline distT="0" distB="0" distL="114300" distR="114300">
            <wp:extent cx="5614670" cy="6863080"/>
            <wp:effectExtent l="0" t="0" r="5080" b="13970"/>
            <wp:docPr id="38" name="图片 38" descr="img-513160702-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513160702-0006"/>
                    <pic:cNvPicPr>
                      <a:picLocks noChangeAspect="1"/>
                    </pic:cNvPicPr>
                  </pic:nvPicPr>
                  <pic:blipFill>
                    <a:blip r:embed="rId25"/>
                    <a:srcRect t="9423" b="4120"/>
                    <a:stretch>
                      <a:fillRect/>
                    </a:stretch>
                  </pic:blipFill>
                  <pic:spPr>
                    <a:xfrm>
                      <a:off x="0" y="0"/>
                      <a:ext cx="5614670" cy="6863080"/>
                    </a:xfrm>
                    <a:prstGeom prst="rect">
                      <a:avLst/>
                    </a:prstGeom>
                  </pic:spPr>
                </pic:pic>
              </a:graphicData>
            </a:graphic>
          </wp:inline>
        </w:drawing>
      </w:r>
      <w:r>
        <w:rPr>
          <w:rFonts w:hint="eastAsia" w:ascii="方正大标宋_GBK" w:hAnsi="方正大标宋_GBK" w:eastAsia="方正大标宋_GBK" w:cs="方正大标宋_GBK"/>
          <w:sz w:val="44"/>
          <w:szCs w:val="44"/>
          <w:lang w:eastAsia="zh-CN"/>
        </w:rPr>
        <w:drawing>
          <wp:inline distT="0" distB="0" distL="114300" distR="114300">
            <wp:extent cx="5614670" cy="7700010"/>
            <wp:effectExtent l="0" t="0" r="5080" b="15240"/>
            <wp:docPr id="37" name="图片 37" descr="img-513160702-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513160702-0007"/>
                    <pic:cNvPicPr>
                      <a:picLocks noChangeAspect="1"/>
                    </pic:cNvPicPr>
                  </pic:nvPicPr>
                  <pic:blipFill>
                    <a:blip r:embed="rId26"/>
                    <a:srcRect b="3000"/>
                    <a:stretch>
                      <a:fillRect/>
                    </a:stretch>
                  </pic:blipFill>
                  <pic:spPr>
                    <a:xfrm>
                      <a:off x="0" y="0"/>
                      <a:ext cx="5614670" cy="7700010"/>
                    </a:xfrm>
                    <a:prstGeom prst="rect">
                      <a:avLst/>
                    </a:prstGeom>
                  </pic:spPr>
                </pic:pic>
              </a:graphicData>
            </a:graphic>
          </wp:inline>
        </w:drawing>
      </w:r>
      <w:r>
        <w:rPr>
          <w:rFonts w:hint="eastAsia" w:ascii="方正大标宋_GBK" w:hAnsi="方正大标宋_GBK" w:eastAsia="方正大标宋_GBK" w:cs="方正大标宋_GBK"/>
          <w:sz w:val="44"/>
          <w:szCs w:val="44"/>
          <w:lang w:eastAsia="zh-CN"/>
        </w:rPr>
        <w:drawing>
          <wp:inline distT="0" distB="0" distL="114300" distR="114300">
            <wp:extent cx="5614670" cy="7580630"/>
            <wp:effectExtent l="0" t="0" r="5080" b="1270"/>
            <wp:docPr id="36" name="图片 36" descr="img-513160702-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513160702-0008"/>
                    <pic:cNvPicPr>
                      <a:picLocks noChangeAspect="1"/>
                    </pic:cNvPicPr>
                  </pic:nvPicPr>
                  <pic:blipFill>
                    <a:blip r:embed="rId27"/>
                    <a:srcRect b="4504"/>
                    <a:stretch>
                      <a:fillRect/>
                    </a:stretch>
                  </pic:blipFill>
                  <pic:spPr>
                    <a:xfrm>
                      <a:off x="0" y="0"/>
                      <a:ext cx="5614670" cy="7580630"/>
                    </a:xfrm>
                    <a:prstGeom prst="rect">
                      <a:avLst/>
                    </a:prstGeom>
                  </pic:spPr>
                </pic:pic>
              </a:graphicData>
            </a:graphic>
          </wp:inline>
        </w:drawing>
      </w:r>
      <w:r>
        <w:rPr>
          <w:rFonts w:hint="eastAsia" w:ascii="方正大标宋_GBK" w:hAnsi="方正大标宋_GBK" w:eastAsia="方正大标宋_GBK" w:cs="方正大标宋_GBK"/>
          <w:sz w:val="44"/>
          <w:szCs w:val="44"/>
          <w:lang w:eastAsia="zh-CN"/>
        </w:rPr>
        <w:drawing>
          <wp:inline distT="0" distB="0" distL="114300" distR="114300">
            <wp:extent cx="5614670" cy="7660640"/>
            <wp:effectExtent l="0" t="0" r="5080" b="16510"/>
            <wp:docPr id="35" name="图片 35" descr="img-513160702-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513160702-0009"/>
                    <pic:cNvPicPr>
                      <a:picLocks noChangeAspect="1"/>
                    </pic:cNvPicPr>
                  </pic:nvPicPr>
                  <pic:blipFill>
                    <a:blip r:embed="rId28"/>
                    <a:srcRect b="3496"/>
                    <a:stretch>
                      <a:fillRect/>
                    </a:stretch>
                  </pic:blipFill>
                  <pic:spPr>
                    <a:xfrm>
                      <a:off x="0" y="0"/>
                      <a:ext cx="5614670" cy="7660640"/>
                    </a:xfrm>
                    <a:prstGeom prst="rect">
                      <a:avLst/>
                    </a:prstGeom>
                  </pic:spPr>
                </pic:pic>
              </a:graphicData>
            </a:graphic>
          </wp:inline>
        </w:drawing>
      </w:r>
      <w:r>
        <w:rPr>
          <w:rFonts w:hint="eastAsia" w:ascii="方正大标宋_GBK" w:hAnsi="方正大标宋_GBK" w:eastAsia="方正大标宋_GBK" w:cs="方正大标宋_GBK"/>
          <w:sz w:val="44"/>
          <w:szCs w:val="44"/>
          <w:lang w:eastAsia="zh-CN"/>
        </w:rPr>
        <w:drawing>
          <wp:inline distT="0" distB="0" distL="114300" distR="114300">
            <wp:extent cx="5614670" cy="7700010"/>
            <wp:effectExtent l="0" t="0" r="5080" b="15240"/>
            <wp:docPr id="34" name="图片 34" descr="img-513160702-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513160702-0010"/>
                    <pic:cNvPicPr>
                      <a:picLocks noChangeAspect="1"/>
                    </pic:cNvPicPr>
                  </pic:nvPicPr>
                  <pic:blipFill>
                    <a:blip r:embed="rId29"/>
                    <a:srcRect b="3000"/>
                    <a:stretch>
                      <a:fillRect/>
                    </a:stretch>
                  </pic:blipFill>
                  <pic:spPr>
                    <a:xfrm>
                      <a:off x="0" y="0"/>
                      <a:ext cx="5614670" cy="7700010"/>
                    </a:xfrm>
                    <a:prstGeom prst="rect">
                      <a:avLst/>
                    </a:prstGeom>
                  </pic:spPr>
                </pic:pic>
              </a:graphicData>
            </a:graphic>
          </wp:inline>
        </w:drawing>
      </w:r>
      <w:r>
        <w:rPr>
          <w:rFonts w:hint="eastAsia" w:ascii="方正大标宋_GBK" w:hAnsi="方正大标宋_GBK" w:eastAsia="方正大标宋_GBK" w:cs="方正大标宋_GBK"/>
          <w:sz w:val="44"/>
          <w:szCs w:val="44"/>
          <w:lang w:eastAsia="zh-CN"/>
        </w:rPr>
        <w:drawing>
          <wp:inline distT="0" distB="0" distL="114300" distR="114300">
            <wp:extent cx="5614670" cy="7660640"/>
            <wp:effectExtent l="0" t="0" r="5080" b="16510"/>
            <wp:docPr id="33" name="图片 33" descr="img-513160702-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513160702-0011"/>
                    <pic:cNvPicPr>
                      <a:picLocks noChangeAspect="1"/>
                    </pic:cNvPicPr>
                  </pic:nvPicPr>
                  <pic:blipFill>
                    <a:blip r:embed="rId30"/>
                    <a:srcRect b="3496"/>
                    <a:stretch>
                      <a:fillRect/>
                    </a:stretch>
                  </pic:blipFill>
                  <pic:spPr>
                    <a:xfrm>
                      <a:off x="0" y="0"/>
                      <a:ext cx="5614670" cy="7660640"/>
                    </a:xfrm>
                    <a:prstGeom prst="rect">
                      <a:avLst/>
                    </a:prstGeom>
                  </pic:spPr>
                </pic:pic>
              </a:graphicData>
            </a:graphic>
          </wp:inline>
        </w:drawing>
      </w:r>
      <w:r>
        <w:rPr>
          <w:rFonts w:hint="eastAsia" w:ascii="方正大标宋_GBK" w:hAnsi="方正大标宋_GBK" w:eastAsia="方正大标宋_GBK" w:cs="方正大标宋_GBK"/>
          <w:sz w:val="44"/>
          <w:szCs w:val="44"/>
          <w:lang w:eastAsia="zh-CN"/>
        </w:rPr>
        <w:drawing>
          <wp:inline distT="0" distB="0" distL="114300" distR="114300">
            <wp:extent cx="5614670" cy="7604760"/>
            <wp:effectExtent l="0" t="0" r="5080" b="15240"/>
            <wp:docPr id="32" name="图片 32" descr="img-513160702-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513160702-0012"/>
                    <pic:cNvPicPr>
                      <a:picLocks noChangeAspect="1"/>
                    </pic:cNvPicPr>
                  </pic:nvPicPr>
                  <pic:blipFill>
                    <a:blip r:embed="rId31"/>
                    <a:srcRect b="4200"/>
                    <a:stretch>
                      <a:fillRect/>
                    </a:stretch>
                  </pic:blipFill>
                  <pic:spPr>
                    <a:xfrm>
                      <a:off x="0" y="0"/>
                      <a:ext cx="5614670" cy="760476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方正大标宋_GBK" w:hAnsi="方正大标宋_GBK" w:eastAsia="方正大标宋_GBK" w:cs="方正大标宋_GBK"/>
          <w:sz w:val="44"/>
          <w:szCs w:val="44"/>
        </w:rPr>
      </w:pPr>
      <w:r>
        <w:rPr>
          <w:rFonts w:hint="eastAsia" w:ascii="方正大标宋_GBK" w:hAnsi="方正大标宋_GBK" w:eastAsia="方正大标宋_GBK" w:cs="方正大标宋_GBK"/>
          <w:sz w:val="44"/>
          <w:szCs w:val="44"/>
          <w:lang w:eastAsia="zh-CN"/>
        </w:rPr>
        <w:t>十二、</w:t>
      </w:r>
      <w:r>
        <w:rPr>
          <w:rFonts w:hint="eastAsia" w:ascii="方正大标宋_GBK" w:hAnsi="方正大标宋_GBK" w:eastAsia="方正大标宋_GBK" w:cs="方正大标宋_GBK"/>
          <w:sz w:val="44"/>
          <w:szCs w:val="44"/>
        </w:rPr>
        <w:t>投标人资格资料</w:t>
      </w:r>
    </w:p>
    <w:p>
      <w:pPr>
        <w:widowControl/>
        <w:spacing w:line="360" w:lineRule="auto"/>
        <w:jc w:val="center"/>
        <w:rPr>
          <w:rFonts w:hint="eastAsia" w:ascii="宋体" w:hAnsi="宋体" w:cs="宋体"/>
          <w:kern w:val="0"/>
          <w:sz w:val="44"/>
          <w:szCs w:val="44"/>
        </w:rPr>
      </w:pPr>
      <w:r>
        <w:rPr>
          <w:sz w:val="22"/>
          <w:szCs w:val="22"/>
        </w:rPr>
        <w:drawing>
          <wp:anchor distT="0" distB="0" distL="114300" distR="114300" simplePos="0" relativeHeight="251658240" behindDoc="1" locked="0" layoutInCell="1" allowOverlap="1">
            <wp:simplePos x="0" y="0"/>
            <wp:positionH relativeFrom="column">
              <wp:posOffset>-161925</wp:posOffset>
            </wp:positionH>
            <wp:positionV relativeFrom="paragraph">
              <wp:posOffset>38100</wp:posOffset>
            </wp:positionV>
            <wp:extent cx="5833110" cy="6758305"/>
            <wp:effectExtent l="19050" t="0" r="0" b="0"/>
            <wp:wrapTight wrapText="bothSides">
              <wp:wrapPolygon>
                <wp:start x="-71" y="0"/>
                <wp:lineTo x="-71" y="21553"/>
                <wp:lineTo x="21586" y="21553"/>
                <wp:lineTo x="21586" y="0"/>
                <wp:lineTo x="-71" y="0"/>
              </wp:wrapPolygon>
            </wp:wrapTight>
            <wp:docPr id="1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9"/>
                    <pic:cNvPicPr>
                      <a:picLocks noChangeAspect="1" noChangeArrowheads="1"/>
                    </pic:cNvPicPr>
                  </pic:nvPicPr>
                  <pic:blipFill>
                    <a:blip r:embed="rId32" cstate="print"/>
                    <a:srcRect t="4555"/>
                    <a:stretch>
                      <a:fillRect/>
                    </a:stretch>
                  </pic:blipFill>
                  <pic:spPr>
                    <a:xfrm>
                      <a:off x="0" y="0"/>
                      <a:ext cx="5833110" cy="6758305"/>
                    </a:xfrm>
                    <a:prstGeom prst="rect">
                      <a:avLst/>
                    </a:prstGeom>
                    <a:noFill/>
                    <a:ln w="9525">
                      <a:noFill/>
                      <a:miter lim="800000"/>
                      <a:headEnd/>
                      <a:tailEnd/>
                    </a:ln>
                  </pic:spPr>
                </pic:pic>
              </a:graphicData>
            </a:graphic>
          </wp:anchor>
        </w:drawing>
      </w:r>
    </w:p>
    <w:p>
      <w:pPr>
        <w:widowControl/>
        <w:spacing w:line="360" w:lineRule="auto"/>
        <w:jc w:val="center"/>
        <w:rPr>
          <w:sz w:val="22"/>
          <w:szCs w:val="22"/>
        </w:rPr>
      </w:pPr>
      <w:r>
        <w:rPr>
          <w:sz w:val="22"/>
          <w:szCs w:val="22"/>
        </w:rPr>
        <w:drawing>
          <wp:anchor distT="0" distB="0" distL="114300" distR="114300" simplePos="0" relativeHeight="251659264" behindDoc="0" locked="0" layoutInCell="1" allowOverlap="1">
            <wp:simplePos x="0" y="0"/>
            <wp:positionH relativeFrom="column">
              <wp:posOffset>-89535</wp:posOffset>
            </wp:positionH>
            <wp:positionV relativeFrom="paragraph">
              <wp:posOffset>86360</wp:posOffset>
            </wp:positionV>
            <wp:extent cx="5735320" cy="7646035"/>
            <wp:effectExtent l="19050" t="0" r="0" b="0"/>
            <wp:wrapNone/>
            <wp:docPr id="1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3"/>
                    <pic:cNvPicPr>
                      <a:picLocks noChangeAspect="1" noChangeArrowheads="1"/>
                    </pic:cNvPicPr>
                  </pic:nvPicPr>
                  <pic:blipFill>
                    <a:blip r:embed="rId33" cstate="print"/>
                    <a:srcRect/>
                    <a:stretch>
                      <a:fillRect/>
                    </a:stretch>
                  </pic:blipFill>
                  <pic:spPr>
                    <a:xfrm>
                      <a:off x="0" y="0"/>
                      <a:ext cx="5735364" cy="7646275"/>
                    </a:xfrm>
                    <a:prstGeom prst="rect">
                      <a:avLst/>
                    </a:prstGeom>
                    <a:noFill/>
                    <a:ln w="9525">
                      <a:noFill/>
                      <a:miter lim="800000"/>
                      <a:headEnd/>
                      <a:tailEnd/>
                    </a:ln>
                  </pic:spPr>
                </pic:pic>
              </a:graphicData>
            </a:graphic>
          </wp:anchor>
        </w:drawing>
      </w:r>
    </w:p>
    <w:p>
      <w:pPr>
        <w:widowControl/>
        <w:spacing w:line="360" w:lineRule="auto"/>
        <w:jc w:val="center"/>
        <w:rPr>
          <w:sz w:val="22"/>
          <w:szCs w:val="22"/>
        </w:rPr>
      </w:pPr>
    </w:p>
    <w:p>
      <w:pPr>
        <w:widowControl/>
        <w:spacing w:line="360" w:lineRule="auto"/>
        <w:jc w:val="center"/>
        <w:rPr>
          <w:sz w:val="22"/>
          <w:szCs w:val="22"/>
        </w:rPr>
      </w:pPr>
    </w:p>
    <w:p>
      <w:pPr>
        <w:widowControl/>
        <w:spacing w:line="360" w:lineRule="auto"/>
        <w:jc w:val="center"/>
        <w:rPr>
          <w:rFonts w:hint="eastAsia"/>
          <w:sz w:val="22"/>
          <w:szCs w:val="22"/>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rPr>
          <w:rFonts w:hint="eastAsia" w:ascii="宋体" w:hAnsi="宋体" w:cs="宋体"/>
          <w:kern w:val="0"/>
          <w:sz w:val="44"/>
          <w:szCs w:val="44"/>
        </w:rPr>
      </w:pPr>
      <w:r>
        <w:rPr>
          <w:rFonts w:hint="eastAsia" w:ascii="宋体" w:hAnsi="宋体" w:cs="宋体"/>
          <w:kern w:val="0"/>
          <w:sz w:val="44"/>
          <w:szCs w:val="44"/>
        </w:rPr>
        <w:drawing>
          <wp:anchor distT="0" distB="0" distL="114300" distR="114300" simplePos="0" relativeHeight="251661312" behindDoc="0" locked="0" layoutInCell="1" allowOverlap="1">
            <wp:simplePos x="0" y="0"/>
            <wp:positionH relativeFrom="column">
              <wp:posOffset>-26670</wp:posOffset>
            </wp:positionH>
            <wp:positionV relativeFrom="paragraph">
              <wp:posOffset>70485</wp:posOffset>
            </wp:positionV>
            <wp:extent cx="5640705" cy="7819390"/>
            <wp:effectExtent l="19050" t="0" r="0" b="0"/>
            <wp:wrapNone/>
            <wp:docPr id="1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4"/>
                    <pic:cNvPicPr>
                      <a:picLocks noChangeAspect="1" noChangeArrowheads="1"/>
                    </pic:cNvPicPr>
                  </pic:nvPicPr>
                  <pic:blipFill>
                    <a:blip r:embed="rId34" cstate="print"/>
                    <a:srcRect/>
                    <a:stretch>
                      <a:fillRect/>
                    </a:stretch>
                  </pic:blipFill>
                  <pic:spPr>
                    <a:xfrm>
                      <a:off x="0" y="0"/>
                      <a:ext cx="5640771" cy="7819697"/>
                    </a:xfrm>
                    <a:prstGeom prst="rect">
                      <a:avLst/>
                    </a:prstGeom>
                    <a:noFill/>
                    <a:ln w="9525">
                      <a:noFill/>
                      <a:miter lim="800000"/>
                      <a:headEnd/>
                      <a:tailEnd/>
                    </a:ln>
                  </pic:spPr>
                </pic:pic>
              </a:graphicData>
            </a:graphic>
          </wp:anchor>
        </w:drawing>
      </w: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p>
      <w:pPr>
        <w:widowControl/>
        <w:spacing w:line="360" w:lineRule="auto"/>
        <w:jc w:val="center"/>
        <w:rPr>
          <w:rFonts w:hint="eastAsia" w:ascii="宋体" w:hAnsi="宋体" w:cs="宋体"/>
          <w:kern w:val="0"/>
          <w:sz w:val="44"/>
          <w:szCs w:val="44"/>
        </w:rPr>
      </w:pPr>
    </w:p>
    <w:bookmarkEnd w:id="0"/>
    <w:bookmarkEnd w:id="1"/>
    <w:bookmarkEnd w:id="2"/>
    <w:bookmarkEnd w:id="3"/>
    <w:bookmarkEnd w:id="4"/>
    <w:p>
      <w:pPr>
        <w:rPr>
          <w:rFonts w:hint="eastAsia" w:ascii="仿宋" w:hAnsi="仿宋" w:eastAsia="仿宋" w:cs="仿宋"/>
          <w:kern w:val="0"/>
          <w:sz w:val="30"/>
          <w:szCs w:val="30"/>
        </w:rPr>
      </w:pPr>
    </w:p>
    <w:p>
      <w:pPr>
        <w:rPr>
          <w:rFonts w:hint="eastAsia" w:ascii="仿宋" w:hAnsi="仿宋" w:eastAsia="仿宋" w:cs="仿宋"/>
          <w:kern w:val="0"/>
          <w:sz w:val="30"/>
          <w:szCs w:val="30"/>
        </w:rPr>
      </w:pPr>
    </w:p>
    <w:p>
      <w:pPr>
        <w:rPr>
          <w:rFonts w:hint="eastAsia" w:ascii="仿宋" w:hAnsi="仿宋" w:eastAsia="仿宋" w:cs="仿宋"/>
          <w:kern w:val="0"/>
          <w:sz w:val="30"/>
          <w:szCs w:val="30"/>
        </w:rPr>
      </w:pPr>
    </w:p>
    <w:p>
      <w:pPr>
        <w:rPr>
          <w:rFonts w:hint="eastAsia" w:ascii="仿宋" w:hAnsi="仿宋" w:eastAsia="仿宋" w:cs="仿宋"/>
          <w:kern w:val="0"/>
          <w:sz w:val="30"/>
          <w:szCs w:val="30"/>
        </w:rPr>
      </w:pPr>
    </w:p>
    <w:p>
      <w:pPr>
        <w:rPr>
          <w:rFonts w:hint="eastAsia" w:ascii="仿宋" w:hAnsi="仿宋" w:eastAsia="仿宋" w:cs="仿宋"/>
          <w:kern w:val="0"/>
          <w:sz w:val="30"/>
          <w:szCs w:val="30"/>
        </w:rPr>
      </w:pPr>
      <w:r>
        <w:rPr>
          <w:rFonts w:hint="eastAsia" w:ascii="仿宋" w:hAnsi="仿宋" w:eastAsia="仿宋" w:cs="仿宋"/>
          <w:kern w:val="0"/>
          <w:sz w:val="30"/>
          <w:szCs w:val="30"/>
        </w:rPr>
        <w:drawing>
          <wp:anchor distT="0" distB="0" distL="114300" distR="114300" simplePos="0" relativeHeight="251660288" behindDoc="0" locked="0" layoutInCell="1" allowOverlap="1">
            <wp:simplePos x="0" y="0"/>
            <wp:positionH relativeFrom="column">
              <wp:posOffset>-156845</wp:posOffset>
            </wp:positionH>
            <wp:positionV relativeFrom="paragraph">
              <wp:posOffset>234950</wp:posOffset>
            </wp:positionV>
            <wp:extent cx="5781040" cy="7659370"/>
            <wp:effectExtent l="19050" t="0" r="0" b="0"/>
            <wp:wrapNone/>
            <wp:docPr id="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0"/>
                    <pic:cNvPicPr>
                      <a:picLocks noChangeAspect="1" noChangeArrowheads="1"/>
                    </pic:cNvPicPr>
                  </pic:nvPicPr>
                  <pic:blipFill>
                    <a:blip r:embed="rId35" cstate="print"/>
                    <a:srcRect/>
                    <a:stretch>
                      <a:fillRect/>
                    </a:stretch>
                  </pic:blipFill>
                  <pic:spPr>
                    <a:xfrm>
                      <a:off x="0" y="0"/>
                      <a:ext cx="5780998" cy="7659584"/>
                    </a:xfrm>
                    <a:prstGeom prst="rect">
                      <a:avLst/>
                    </a:prstGeom>
                    <a:noFill/>
                    <a:ln w="9525">
                      <a:noFill/>
                      <a:miter lim="800000"/>
                      <a:headEnd/>
                      <a:tailEnd/>
                    </a:ln>
                  </pic:spPr>
                </pic:pic>
              </a:graphicData>
            </a:graphic>
          </wp:anchor>
        </w:drawing>
      </w:r>
    </w:p>
    <w:sectPr>
      <w:footnotePr>
        <w:numRestart w:val="eachPage"/>
      </w:footnotePr>
      <w:pgSz w:w="11907" w:h="16840"/>
      <w:pgMar w:top="2098" w:right="1474" w:bottom="1984" w:left="1587" w:header="851" w:footer="992" w:gutter="0"/>
      <w:pgBorders>
        <w:top w:val="none" w:sz="0" w:space="0"/>
        <w:left w:val="none" w:sz="0" w:space="0"/>
        <w:bottom w:val="none" w:sz="0" w:space="0"/>
        <w:right w:val="none" w:sz="0" w:space="0"/>
      </w:pgBorders>
      <w:pgNumType w:fmt="decimal"/>
      <w:cols w:space="720" w:num="1"/>
      <w:docGrid w:type="lines" w:linePitch="38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5F" w:usb2="00000000" w:usb3="00000000" w:csb0="2000019F" w:csb1="00000000"/>
  </w:font>
  <w:font w:name="Arial">
    <w:panose1 w:val="020B0604020202020204"/>
    <w:charset w:val="00"/>
    <w:family w:val="swiss"/>
    <w:pitch w:val="default"/>
    <w:sig w:usb0="E0002AFF" w:usb1="C0007843" w:usb2="00000009" w:usb3="00000000" w:csb0="400001FF" w:csb1="FFFF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80F3C52" w:usb2="00000016" w:usb3="00000000" w:csb0="0004001F" w:csb1="00000000"/>
  </w:font>
  <w:font w:name="汉仪中宋简">
    <w:panose1 w:val="02010609000101010101"/>
    <w:charset w:val="86"/>
    <w:family w:val="modern"/>
    <w:pitch w:val="default"/>
    <w:sig w:usb0="00000001" w:usb1="080E0800" w:usb2="00000002" w:usb3="00000000" w:csb0="00040000" w:csb1="00000000"/>
  </w:font>
  <w:font w:name="楷体">
    <w:panose1 w:val="02010609060101010101"/>
    <w:charset w:val="86"/>
    <w:family w:val="modern"/>
    <w:pitch w:val="default"/>
    <w:sig w:usb0="800002BF" w:usb1="38CF7CFA" w:usb2="00000016" w:usb3="00000000" w:csb0="00040001" w:csb1="00000000"/>
  </w:font>
  <w:font w:name="方正大标宋_GBK">
    <w:panose1 w:val="03000509000000000000"/>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
    <w:r>
      <w:drawing>
        <wp:inline distT="0" distB="0" distL="0" distR="0">
          <wp:extent cx="5276850" cy="581025"/>
          <wp:effectExtent l="19050" t="0" r="0" b="0"/>
          <wp:docPr id="1" name="Picture 2" descr="工行条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工行条 拷贝"/>
                  <pic:cNvPicPr>
                    <a:picLocks noChangeAspect="1" noChangeArrowheads="1"/>
                  </pic:cNvPicPr>
                </pic:nvPicPr>
                <pic:blipFill>
                  <a:blip r:embed="rId1"/>
                  <a:srcRect/>
                  <a:stretch>
                    <a:fillRect/>
                  </a:stretch>
                </pic:blipFill>
                <pic:spPr>
                  <a:xfrm>
                    <a:off x="0" y="0"/>
                    <a:ext cx="5276850" cy="581025"/>
                  </a:xfrm>
                  <a:prstGeom prst="rect">
                    <a:avLst/>
                  </a:prstGeom>
                  <a:noFill/>
                  <a:ln w="9525">
                    <a:noFill/>
                    <a:miter lim="800000"/>
                    <a:headEnd/>
                    <a:tailEnd/>
                  </a:ln>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pict>
        <v:shape id="文本框 10" o:spid="_x0000_s2050" o:spt="202" type="#_x0000_t202" style="position:absolute;left:0pt;margin-top:0pt;height:144pt;width:144pt;mso-position-horizontal:center;mso-position-horizontal-relative:margin;mso-wrap-style:none;z-index:251658240;mso-width-relative:page;mso-height-relative:page;" filled="f" stroked="f" coordsize="21600,21600">
          <v:path/>
          <v:fill on="f" focussize="0,0"/>
          <v:stroke on="f" joinstyle="miter"/>
          <v:imagedata o:title=""/>
          <o:lock v:ext="edit"/>
          <v:textbox inset="0mm,0mm,0mm,0mm" style="mso-fit-shape-to-text:t;">
            <w:txbxContent>
              <w:p>
                <w:pPr>
                  <w:snapToGrid w:val="0"/>
                  <w:rPr>
                    <w:rFonts w:hint="eastAsia"/>
                    <w:sz w:val="20"/>
                    <w:szCs w:val="20"/>
                  </w:rPr>
                </w:pPr>
                <w:r>
                  <w:rPr>
                    <w:rFonts w:hint="eastAsia"/>
                    <w:sz w:val="20"/>
                    <w:szCs w:val="20"/>
                  </w:rPr>
                  <w:fldChar w:fldCharType="begin"/>
                </w:r>
                <w:r>
                  <w:rPr>
                    <w:rFonts w:hint="eastAsia"/>
                    <w:sz w:val="20"/>
                    <w:szCs w:val="20"/>
                  </w:rPr>
                  <w:instrText xml:space="preserve"> PAGE  \* MERGEFORMAT </w:instrText>
                </w:r>
                <w:r>
                  <w:rPr>
                    <w:rFonts w:hint="eastAsia"/>
                    <w:sz w:val="20"/>
                    <w:szCs w:val="20"/>
                  </w:rPr>
                  <w:fldChar w:fldCharType="separate"/>
                </w:r>
                <w:r>
                  <w:rPr>
                    <w:sz w:val="20"/>
                    <w:szCs w:val="20"/>
                  </w:rPr>
                  <w:t>38</w:t>
                </w:r>
                <w:r>
                  <w:rPr>
                    <w:rFonts w:hint="eastAsia"/>
                    <w:sz w:val="20"/>
                    <w:szCs w:val="20"/>
                  </w:rPr>
                  <w:fldChar w:fldCharType="end"/>
                </w:r>
              </w:p>
            </w:txbxContent>
          </v:textbox>
        </v:shape>
      </w:pict>
    </w:r>
  </w:p>
  <w:p>
    <w:r>
      <w:drawing>
        <wp:inline distT="0" distB="0" distL="0" distR="0">
          <wp:extent cx="5276850" cy="581025"/>
          <wp:effectExtent l="19050" t="0" r="0" b="0"/>
          <wp:docPr id="2" name="Picture 2" descr="工行条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工行条 拷贝"/>
                  <pic:cNvPicPr>
                    <a:picLocks noChangeAspect="1" noChangeArrowheads="1"/>
                  </pic:cNvPicPr>
                </pic:nvPicPr>
                <pic:blipFill>
                  <a:blip r:embed="rId1"/>
                  <a:srcRect/>
                  <a:stretch>
                    <a:fillRect/>
                  </a:stretch>
                </pic:blipFill>
                <pic:spPr>
                  <a:xfrm>
                    <a:off x="0" y="0"/>
                    <a:ext cx="5276850" cy="581025"/>
                  </a:xfrm>
                  <a:prstGeom prst="rect">
                    <a:avLst/>
                  </a:prstGeom>
                  <a:noFill/>
                  <a:ln w="9525">
                    <a:noFill/>
                    <a:miter lim="800000"/>
                    <a:headEnd/>
                    <a:tailEnd/>
                  </a:ln>
                </pic:spPr>
              </pic:pic>
            </a:graphicData>
          </a:graphic>
        </wp:inline>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single" w:color="auto" w:sz="6" w:space="18"/>
      </w:pBdr>
    </w:pPr>
    <w:r>
      <w:pict>
        <v:shape id="Picture 1" o:spid="_x0000_s2049" o:spt="75" type="#_x0000_t75" style="position:absolute;left:0pt;margin-left:9.2pt;margin-top:0.65pt;height:39pt;width:416.95pt;mso-wrap-distance-bottom:0pt;mso-wrap-distance-top:0pt;z-index:251657216;mso-width-relative:page;mso-height-relative:page;" o:ole="t" fillcolor="#00CC99" filled="f" o:preferrelative="t" stroked="f" coordsize="21600,21600">
          <v:path/>
          <v:fill on="f" focussize="0,0"/>
          <v:stroke on="f" joinstyle="miter"/>
          <v:imagedata r:id="rId2" o:title=""/>
          <o:lock v:ext="edit" aspectratio="t"/>
          <w10:wrap type="topAndBottom"/>
        </v:shape>
        <o:OLEObject Type="Embed" ProgID="PBrush" ShapeID="Picture 1" DrawAspect="Content" ObjectID="_1468075725" r:id="rId1">
          <o:LockedField>false</o:LockedField>
        </o:OLEObjec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EB9049C"/>
    <w:multiLevelType w:val="singleLevel"/>
    <w:tmpl w:val="5EB9049C"/>
    <w:lvl w:ilvl="0" w:tentative="0">
      <w:start w:val="2"/>
      <w:numFmt w:val="decimal"/>
      <w:suff w:val="nothing"/>
      <w:lvlText w:val="（%1）"/>
      <w:lvlJc w:val="left"/>
    </w:lvl>
  </w:abstractNum>
  <w:abstractNum w:abstractNumId="1">
    <w:nsid w:val="6D7629FB"/>
    <w:multiLevelType w:val="multilevel"/>
    <w:tmpl w:val="6D7629FB"/>
    <w:lvl w:ilvl="0" w:tentative="0">
      <w:start w:val="1"/>
      <w:numFmt w:val="chineseCountingThousand"/>
      <w:pStyle w:val="34"/>
      <w:lvlText w:val="%1、"/>
      <w:lvlJc w:val="left"/>
      <w:pPr>
        <w:tabs>
          <w:tab w:val="left" w:pos="1554"/>
        </w:tabs>
        <w:ind w:left="1554" w:hanging="420"/>
      </w:pPr>
      <w:rPr>
        <w:rFonts w:hint="eastAsia"/>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ocumentProtection w:enforcement="0"/>
  <w:defaultTabStop w:val="420"/>
  <w:drawingGridHorizontalSpacing w:val="0"/>
  <w:drawingGridVerticalSpacing w:val="193"/>
  <w:noPunctuationKerning w:val="1"/>
  <w:characterSpacingControl w:val="compressPunctuation"/>
  <w:doNotValidateAgainstSchema/>
  <w:doNotDemarcateInvalidXml/>
  <w:hdrShapeDefaults>
    <o:shapelayout v:ext="edit">
      <o:idmap v:ext="edit" data="2"/>
    </o:shapelayout>
  </w:hdrShapeDefaults>
  <w:footnotePr>
    <w:numRestart w:val="eachPage"/>
  </w:footnotePr>
  <w:compat>
    <w:spaceForUL/>
    <w:balanceSingleByteDoubleByteWidth/>
    <w:doNotLeaveBackslashAlone/>
    <w:ulTrailSpace/>
    <w:doNotExpandShiftReturn/>
    <w:adjustLineHeightInTable/>
    <w:useFELayout/>
    <w:compatSetting w:name="compatibilityMode" w:uri="http://schemas.microsoft.com/office/word" w:val="12"/>
  </w:compat>
  <w:rsids>
    <w:rsidRoot w:val="00172A27"/>
    <w:rsid w:val="00257A8D"/>
    <w:rsid w:val="002E4133"/>
    <w:rsid w:val="0084320B"/>
    <w:rsid w:val="008765D7"/>
    <w:rsid w:val="00B2434E"/>
    <w:rsid w:val="00EA1FAA"/>
    <w:rsid w:val="00FA6F95"/>
    <w:rsid w:val="09967471"/>
    <w:rsid w:val="0AA4383D"/>
    <w:rsid w:val="145E2EF2"/>
    <w:rsid w:val="3C4308D2"/>
    <w:rsid w:val="3D140B2C"/>
    <w:rsid w:val="4013082A"/>
    <w:rsid w:val="45CC68D5"/>
    <w:rsid w:val="48335A40"/>
    <w:rsid w:val="4DBC0A7B"/>
    <w:rsid w:val="632D452C"/>
    <w:rsid w:val="64002D54"/>
    <w:rsid w:val="67A328FF"/>
    <w:rsid w:val="685E7CF2"/>
    <w:rsid w:val="691B2C48"/>
    <w:rsid w:val="6F3D3CB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nhideWhenUsed="0" w:uiPriority="0"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iPriority="9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8"/>
      <w:lang w:val="en-US" w:eastAsia="zh-CN" w:bidi="ar-SA"/>
    </w:rPr>
  </w:style>
  <w:style w:type="paragraph" w:styleId="2">
    <w:name w:val="heading 1"/>
    <w:basedOn w:val="1"/>
    <w:next w:val="1"/>
    <w:link w:val="29"/>
    <w:qFormat/>
    <w:uiPriority w:val="9"/>
    <w:pPr>
      <w:spacing w:before="120" w:after="120" w:line="360" w:lineRule="auto"/>
      <w:jc w:val="center"/>
      <w:outlineLvl w:val="0"/>
    </w:pPr>
    <w:rPr>
      <w:b/>
      <w:bCs/>
      <w:kern w:val="44"/>
      <w:szCs w:val="28"/>
    </w:rPr>
  </w:style>
  <w:style w:type="paragraph" w:styleId="3">
    <w:name w:val="heading 2"/>
    <w:basedOn w:val="4"/>
    <w:next w:val="1"/>
    <w:link w:val="28"/>
    <w:qFormat/>
    <w:uiPriority w:val="9"/>
    <w:pPr>
      <w:spacing w:beforeLines="0" w:afterLines="0" w:line="416" w:lineRule="auto"/>
      <w:outlineLvl w:val="1"/>
    </w:pPr>
    <w:rPr>
      <w:rFonts w:ascii="Cambria" w:hAnsi="Cambria" w:eastAsia="宋体"/>
      <w:b w:val="0"/>
      <w:bCs/>
      <w:szCs w:val="32"/>
    </w:rPr>
  </w:style>
  <w:style w:type="paragraph" w:styleId="6">
    <w:name w:val="heading 3"/>
    <w:basedOn w:val="1"/>
    <w:next w:val="1"/>
    <w:link w:val="27"/>
    <w:qFormat/>
    <w:uiPriority w:val="9"/>
    <w:pPr>
      <w:keepNext/>
      <w:keepLines/>
      <w:spacing w:before="260" w:after="260" w:line="416" w:lineRule="auto"/>
      <w:outlineLvl w:val="2"/>
    </w:pPr>
    <w:rPr>
      <w:b/>
      <w:bCs/>
      <w:sz w:val="32"/>
      <w:szCs w:val="32"/>
    </w:rPr>
  </w:style>
  <w:style w:type="paragraph" w:styleId="5">
    <w:name w:val="heading 4"/>
    <w:basedOn w:val="1"/>
    <w:next w:val="1"/>
    <w:qFormat/>
    <w:uiPriority w:val="9"/>
    <w:pPr>
      <w:keepNext/>
      <w:keepLines/>
      <w:spacing w:before="280" w:after="290" w:line="372" w:lineRule="auto"/>
      <w:outlineLvl w:val="3"/>
    </w:pPr>
    <w:rPr>
      <w:rFonts w:ascii="Arial" w:hAnsi="Arial" w:eastAsia="黑体"/>
      <w:b/>
    </w:rPr>
  </w:style>
  <w:style w:type="character" w:default="1" w:styleId="22">
    <w:name w:val="Default Paragraph Font"/>
    <w:link w:val="23"/>
    <w:qFormat/>
    <w:uiPriority w:val="0"/>
  </w:style>
  <w:style w:type="table" w:default="1" w:styleId="21">
    <w:name w:val="Normal Table"/>
    <w:unhideWhenUsed/>
    <w:qFormat/>
    <w:uiPriority w:val="99"/>
    <w:tblPr>
      <w:tblCellMar>
        <w:top w:w="0" w:type="dxa"/>
        <w:left w:w="108" w:type="dxa"/>
        <w:bottom w:w="0" w:type="dxa"/>
        <w:right w:w="108" w:type="dxa"/>
      </w:tblCellMar>
    </w:tblPr>
  </w:style>
  <w:style w:type="paragraph" w:styleId="4">
    <w:name w:val="Title"/>
    <w:basedOn w:val="5"/>
    <w:next w:val="1"/>
    <w:qFormat/>
    <w:uiPriority w:val="10"/>
    <w:pPr>
      <w:spacing w:beforeLines="50" w:afterLines="50" w:line="240" w:lineRule="auto"/>
      <w:ind w:firstLine="480" w:firstLineChars="200"/>
      <w:jc w:val="left"/>
    </w:pPr>
    <w:rPr>
      <w:rFonts w:eastAsia="楷体"/>
      <w:sz w:val="32"/>
    </w:rPr>
  </w:style>
  <w:style w:type="paragraph" w:styleId="7">
    <w:name w:val="toc 7"/>
    <w:basedOn w:val="1"/>
    <w:next w:val="1"/>
    <w:unhideWhenUsed/>
    <w:qFormat/>
    <w:uiPriority w:val="39"/>
    <w:pPr>
      <w:ind w:left="2520" w:leftChars="1200"/>
    </w:pPr>
  </w:style>
  <w:style w:type="paragraph" w:styleId="8">
    <w:name w:val="annotation text"/>
    <w:basedOn w:val="1"/>
    <w:unhideWhenUsed/>
    <w:qFormat/>
    <w:uiPriority w:val="99"/>
    <w:pPr>
      <w:jc w:val="left"/>
    </w:pPr>
  </w:style>
  <w:style w:type="paragraph" w:styleId="9">
    <w:name w:val="toc 5"/>
    <w:basedOn w:val="1"/>
    <w:next w:val="1"/>
    <w:unhideWhenUsed/>
    <w:qFormat/>
    <w:uiPriority w:val="39"/>
    <w:pPr>
      <w:ind w:left="1680" w:leftChars="800"/>
    </w:pPr>
  </w:style>
  <w:style w:type="paragraph" w:styleId="10">
    <w:name w:val="toc 3"/>
    <w:basedOn w:val="1"/>
    <w:next w:val="1"/>
    <w:unhideWhenUsed/>
    <w:qFormat/>
    <w:uiPriority w:val="39"/>
    <w:pPr>
      <w:ind w:left="840" w:leftChars="400"/>
    </w:pPr>
  </w:style>
  <w:style w:type="paragraph" w:styleId="11">
    <w:name w:val="toc 8"/>
    <w:basedOn w:val="1"/>
    <w:next w:val="1"/>
    <w:unhideWhenUsed/>
    <w:qFormat/>
    <w:uiPriority w:val="39"/>
    <w:pPr>
      <w:ind w:left="2940" w:leftChars="1400"/>
    </w:pPr>
  </w:style>
  <w:style w:type="paragraph" w:styleId="12">
    <w:name w:val="Balloon Text"/>
    <w:basedOn w:val="1"/>
    <w:link w:val="39"/>
    <w:semiHidden/>
    <w:unhideWhenUsed/>
    <w:qFormat/>
    <w:uiPriority w:val="99"/>
    <w:rPr>
      <w:sz w:val="18"/>
      <w:szCs w:val="18"/>
    </w:r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5">
    <w:name w:val="toc 1"/>
    <w:basedOn w:val="1"/>
    <w:next w:val="1"/>
    <w:unhideWhenUsed/>
    <w:qFormat/>
    <w:uiPriority w:val="39"/>
  </w:style>
  <w:style w:type="paragraph" w:styleId="16">
    <w:name w:val="toc 4"/>
    <w:basedOn w:val="1"/>
    <w:next w:val="1"/>
    <w:unhideWhenUsed/>
    <w:qFormat/>
    <w:uiPriority w:val="39"/>
    <w:pPr>
      <w:ind w:left="1260" w:leftChars="600"/>
    </w:pPr>
  </w:style>
  <w:style w:type="paragraph" w:styleId="17">
    <w:name w:val="toc 6"/>
    <w:basedOn w:val="1"/>
    <w:next w:val="1"/>
    <w:unhideWhenUsed/>
    <w:qFormat/>
    <w:uiPriority w:val="39"/>
    <w:pPr>
      <w:ind w:left="2100" w:leftChars="1000"/>
    </w:pPr>
  </w:style>
  <w:style w:type="paragraph" w:styleId="18">
    <w:name w:val="toc 2"/>
    <w:basedOn w:val="1"/>
    <w:next w:val="1"/>
    <w:unhideWhenUsed/>
    <w:qFormat/>
    <w:uiPriority w:val="39"/>
    <w:pPr>
      <w:ind w:left="420" w:leftChars="200"/>
    </w:pPr>
  </w:style>
  <w:style w:type="paragraph" w:styleId="19">
    <w:name w:val="toc 9"/>
    <w:basedOn w:val="1"/>
    <w:next w:val="1"/>
    <w:unhideWhenUsed/>
    <w:qFormat/>
    <w:uiPriority w:val="39"/>
    <w:pPr>
      <w:ind w:left="3360" w:leftChars="1600"/>
    </w:pPr>
  </w:style>
  <w:style w:type="paragraph" w:styleId="20">
    <w:name w:val="Normal (Web)"/>
    <w:basedOn w:val="1"/>
    <w:unhideWhenUsed/>
    <w:qFormat/>
    <w:uiPriority w:val="99"/>
    <w:pPr>
      <w:spacing w:before="100" w:beforeAutospacing="1" w:after="100" w:afterAutospacing="1"/>
      <w:jc w:val="left"/>
    </w:pPr>
    <w:rPr>
      <w:kern w:val="0"/>
      <w:sz w:val="24"/>
    </w:rPr>
  </w:style>
  <w:style w:type="paragraph" w:customStyle="1" w:styleId="23">
    <w:name w:val=" Char Char Char Char Char Char Char"/>
    <w:basedOn w:val="1"/>
    <w:link w:val="22"/>
    <w:qFormat/>
    <w:uiPriority w:val="0"/>
    <w:pPr>
      <w:widowControl/>
      <w:spacing w:after="160" w:line="240" w:lineRule="exact"/>
      <w:jc w:val="left"/>
    </w:pPr>
  </w:style>
  <w:style w:type="character" w:styleId="24">
    <w:name w:val="page number"/>
    <w:basedOn w:val="22"/>
    <w:unhideWhenUsed/>
    <w:qFormat/>
    <w:uiPriority w:val="99"/>
    <w:rPr>
      <w:rFonts w:ascii="Times New Roman" w:hAnsi="Times New Roman" w:eastAsia="仿宋_GB2312"/>
      <w:sz w:val="18"/>
    </w:rPr>
  </w:style>
  <w:style w:type="character" w:styleId="25">
    <w:name w:val="FollowedHyperlink"/>
    <w:basedOn w:val="22"/>
    <w:semiHidden/>
    <w:unhideWhenUsed/>
    <w:qFormat/>
    <w:uiPriority w:val="99"/>
    <w:rPr>
      <w:color w:val="800080" w:themeColor="followedHyperlink"/>
      <w:u w:val="single"/>
    </w:rPr>
  </w:style>
  <w:style w:type="character" w:styleId="26">
    <w:name w:val="Hyperlink"/>
    <w:basedOn w:val="22"/>
    <w:unhideWhenUsed/>
    <w:qFormat/>
    <w:uiPriority w:val="99"/>
    <w:rPr>
      <w:color w:val="0000FF" w:themeColor="hyperlink"/>
      <w:u w:val="single"/>
    </w:rPr>
  </w:style>
  <w:style w:type="character" w:customStyle="1" w:styleId="27">
    <w:name w:val="标题 3 Char"/>
    <w:link w:val="6"/>
    <w:qFormat/>
    <w:uiPriority w:val="9"/>
    <w:rPr>
      <w:rFonts w:ascii="Times New Roman" w:hAnsi="Times New Roman" w:eastAsia="宋体" w:cs="Times New Roman"/>
      <w:b/>
      <w:bCs/>
      <w:sz w:val="32"/>
      <w:szCs w:val="32"/>
    </w:rPr>
  </w:style>
  <w:style w:type="character" w:customStyle="1" w:styleId="28">
    <w:name w:val="标题 2 Char"/>
    <w:link w:val="3"/>
    <w:qFormat/>
    <w:uiPriority w:val="9"/>
    <w:rPr>
      <w:rFonts w:ascii="Cambria" w:hAnsi="Cambria" w:eastAsia="宋体" w:cs="Times New Roman"/>
      <w:b/>
      <w:bCs/>
      <w:sz w:val="32"/>
      <w:szCs w:val="32"/>
    </w:rPr>
  </w:style>
  <w:style w:type="character" w:customStyle="1" w:styleId="29">
    <w:name w:val="标题 1 Char"/>
    <w:link w:val="2"/>
    <w:qFormat/>
    <w:uiPriority w:val="9"/>
    <w:rPr>
      <w:b/>
      <w:bCs/>
      <w:kern w:val="44"/>
      <w:sz w:val="28"/>
      <w:szCs w:val="28"/>
    </w:rPr>
  </w:style>
  <w:style w:type="character" w:customStyle="1" w:styleId="30">
    <w:name w:val="font21"/>
    <w:basedOn w:val="22"/>
    <w:qFormat/>
    <w:uiPriority w:val="0"/>
    <w:rPr>
      <w:rFonts w:hint="eastAsia" w:ascii="仿宋" w:hAnsi="仿宋" w:eastAsia="仿宋" w:cs="仿宋"/>
      <w:color w:val="000000"/>
      <w:sz w:val="24"/>
      <w:szCs w:val="24"/>
      <w:u w:val="none"/>
    </w:rPr>
  </w:style>
  <w:style w:type="character" w:customStyle="1" w:styleId="31">
    <w:name w:val="font11"/>
    <w:basedOn w:val="22"/>
    <w:qFormat/>
    <w:uiPriority w:val="0"/>
    <w:rPr>
      <w:rFonts w:ascii="微软雅黑" w:hAnsi="微软雅黑" w:eastAsia="微软雅黑" w:cs="微软雅黑"/>
      <w:color w:val="000000"/>
      <w:sz w:val="24"/>
      <w:szCs w:val="24"/>
      <w:u w:val="none"/>
    </w:rPr>
  </w:style>
  <w:style w:type="paragraph" w:customStyle="1" w:styleId="32">
    <w:name w:val="正文---"/>
    <w:basedOn w:val="1"/>
    <w:qFormat/>
    <w:uiPriority w:val="0"/>
    <w:pPr>
      <w:widowControl/>
      <w:tabs>
        <w:tab w:val="right" w:leader="dot" w:pos="8221"/>
      </w:tabs>
      <w:autoSpaceDE w:val="0"/>
      <w:autoSpaceDN w:val="0"/>
      <w:adjustRightInd w:val="0"/>
      <w:spacing w:line="400" w:lineRule="exact"/>
      <w:ind w:firstLine="480" w:firstLineChars="200"/>
      <w:jc w:val="left"/>
    </w:pPr>
    <w:rPr>
      <w:rFonts w:ascii="宋体" w:hAnsi="宋体" w:cs="汉仪中宋简"/>
      <w:kern w:val="0"/>
      <w:sz w:val="24"/>
    </w:rPr>
  </w:style>
  <w:style w:type="paragraph" w:customStyle="1" w:styleId="33">
    <w:name w:val="_Style 1"/>
    <w:basedOn w:val="1"/>
    <w:qFormat/>
    <w:uiPriority w:val="0"/>
  </w:style>
  <w:style w:type="paragraph" w:customStyle="1" w:styleId="34">
    <w:name w:val="样式 标题 1 + 两端对齐"/>
    <w:basedOn w:val="2"/>
    <w:qFormat/>
    <w:uiPriority w:val="0"/>
    <w:pPr>
      <w:numPr>
        <w:ilvl w:val="0"/>
        <w:numId w:val="1"/>
      </w:numPr>
      <w:jc w:val="both"/>
    </w:pPr>
    <w:rPr>
      <w:rFonts w:cs="宋体"/>
      <w:szCs w:val="20"/>
    </w:rPr>
  </w:style>
  <w:style w:type="paragraph" w:customStyle="1" w:styleId="35">
    <w:name w:val="HTML Top of Form"/>
    <w:basedOn w:val="1"/>
    <w:next w:val="1"/>
    <w:qFormat/>
    <w:uiPriority w:val="0"/>
    <w:pPr>
      <w:pBdr>
        <w:bottom w:val="single" w:color="auto" w:sz="6" w:space="1"/>
      </w:pBdr>
      <w:jc w:val="center"/>
    </w:pPr>
    <w:rPr>
      <w:rFonts w:ascii="Arial"/>
      <w:vanish/>
      <w:sz w:val="16"/>
    </w:rPr>
  </w:style>
  <w:style w:type="paragraph" w:customStyle="1" w:styleId="36">
    <w:name w:val="HTML Bottom of Form"/>
    <w:basedOn w:val="1"/>
    <w:next w:val="1"/>
    <w:qFormat/>
    <w:uiPriority w:val="0"/>
    <w:pPr>
      <w:pBdr>
        <w:top w:val="single" w:color="auto" w:sz="6" w:space="1"/>
      </w:pBdr>
      <w:jc w:val="center"/>
    </w:pPr>
    <w:rPr>
      <w:rFonts w:ascii="Arial"/>
      <w:vanish/>
      <w:sz w:val="16"/>
    </w:rPr>
  </w:style>
  <w:style w:type="paragraph" w:customStyle="1" w:styleId="37">
    <w:name w:val="huali 正文"/>
    <w:basedOn w:val="1"/>
    <w:qFormat/>
    <w:uiPriority w:val="0"/>
    <w:pPr>
      <w:spacing w:line="360" w:lineRule="auto"/>
      <w:ind w:leftChars="6" w:firstLine="433" w:firstLineChars="206"/>
    </w:pPr>
    <w:rPr>
      <w:sz w:val="21"/>
      <w:szCs w:val="24"/>
    </w:rPr>
  </w:style>
  <w:style w:type="paragraph" w:customStyle="1" w:styleId="38">
    <w:name w:val="标题12"/>
    <w:basedOn w:val="3"/>
    <w:next w:val="1"/>
    <w:qFormat/>
    <w:uiPriority w:val="0"/>
    <w:pPr>
      <w:keepNext w:val="0"/>
      <w:keepLines w:val="0"/>
    </w:pPr>
    <w:rPr>
      <w:rFonts w:eastAsia="黑体"/>
      <w:sz w:val="36"/>
    </w:rPr>
  </w:style>
  <w:style w:type="character" w:customStyle="1" w:styleId="39">
    <w:name w:val="批注框文本 Char"/>
    <w:basedOn w:val="22"/>
    <w:link w:val="12"/>
    <w:semiHidden/>
    <w:qFormat/>
    <w:uiPriority w:val="99"/>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8" Type="http://schemas.openxmlformats.org/officeDocument/2006/relationships/fontTable" Target="fontTable.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header" Target="head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2" Type="http://schemas.openxmlformats.org/officeDocument/2006/relationships/image" Target="media/image1.wmf"/><Relationship Id="rId1" Type="http://schemas.openxmlformats.org/officeDocument/2006/relationships/oleObject" Target="embeddings/oleObject1.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2049"/>
    <customShpInfo spid="_x0000_s205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52</Pages>
  <Words>9925</Words>
  <Characters>10437</Characters>
  <Lines>80</Lines>
  <Paragraphs>22</Paragraphs>
  <TotalTime>9</TotalTime>
  <ScaleCrop>false</ScaleCrop>
  <LinksUpToDate>false</LinksUpToDate>
  <CharactersWithSpaces>10974</CharactersWithSpaces>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2020-05-13T07:42:00Z</dcterms:created>
  <dc:creator>肖阳</dc:creator>
  <cp:lastModifiedBy>小陶</cp:lastModifiedBy>
  <cp:lastPrinted>2020-05-13T09:14:33Z</cp:lastPrinted>
  <dcterms:modified xsi:type="dcterms:W3CDTF">2020-05-13T09:40:06Z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